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1C6" w:rsidRPr="002B5208" w:rsidRDefault="00B161C6" w:rsidP="00B161C6">
      <w:pPr>
        <w:widowControl/>
        <w:spacing w:line="432" w:lineRule="auto"/>
        <w:jc w:val="center"/>
        <w:rPr>
          <w:rFonts w:ascii="方正小标宋简体" w:eastAsia="方正小标宋简体" w:hAnsi="宋体" w:cs="宋体" w:hint="eastAsia"/>
          <w:color w:val="333333"/>
          <w:kern w:val="0"/>
          <w:sz w:val="44"/>
          <w:szCs w:val="44"/>
        </w:rPr>
      </w:pPr>
      <w:bookmarkStart w:id="0" w:name="_GoBack"/>
      <w:r w:rsidRPr="002B5208">
        <w:rPr>
          <w:rFonts w:ascii="方正小标宋简体" w:eastAsia="方正小标宋简体" w:hAnsi="宋体" w:cs="宋体" w:hint="eastAsia"/>
          <w:bCs/>
          <w:color w:val="333333"/>
          <w:kern w:val="0"/>
          <w:sz w:val="44"/>
          <w:szCs w:val="44"/>
        </w:rPr>
        <w:t>国家教育事业发展“十三五”规划</w:t>
      </w:r>
    </w:p>
    <w:bookmarkEnd w:id="0"/>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十三五”时期是全面建成小康社会决胜阶段。为加快推进教育现代化，依据《中华人民共和国国民经济和社会发展第十三个五年规划纲要》和《国家中长期教育改革和发展规划纲要（2010—2020年）》（以下简称《教育规划纲要》），制定本规划。</w:t>
      </w:r>
    </w:p>
    <w:p w:rsidR="00B161C6" w:rsidRPr="002B5208" w:rsidRDefault="00B161C6" w:rsidP="002B5208">
      <w:pPr>
        <w:widowControl/>
        <w:spacing w:line="520" w:lineRule="exact"/>
        <w:ind w:firstLineChars="200" w:firstLine="643"/>
        <w:rPr>
          <w:rFonts w:ascii="仿宋_GB2312" w:eastAsia="仿宋_GB2312" w:hAnsi="宋体" w:cs="宋体" w:hint="eastAsia"/>
          <w:color w:val="333333"/>
          <w:kern w:val="0"/>
          <w:sz w:val="32"/>
          <w:szCs w:val="32"/>
        </w:rPr>
      </w:pPr>
      <w:r w:rsidRPr="002B5208">
        <w:rPr>
          <w:rFonts w:ascii="仿宋_GB2312" w:eastAsia="仿宋_GB2312" w:hAnsi="宋体" w:cs="宋体" w:hint="eastAsia"/>
          <w:b/>
          <w:bCs/>
          <w:color w:val="333333"/>
          <w:kern w:val="0"/>
          <w:sz w:val="32"/>
          <w:szCs w:val="32"/>
        </w:rPr>
        <w:t>一、以新理念引领教育现代化</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（一）发展环境。</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十二五”时期特别是党的十八大以来，按照党中央、国务院决策部署，我国教育改革发展取得了显著成就，社会主义核心价值观教育深入推进，立德树人根本任务有效落实，学生思想道德素质持续向好，教育现代化取得新进展，为促进经济发展、社会和谐、文化繁荣作出重要贡献。</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教育总体发展水平进入世界中上行列。</w:t>
      </w:r>
      <w:r w:rsidRPr="002B5208">
        <w:rPr>
          <w:rFonts w:ascii="仿宋_GB2312" w:eastAsia="仿宋_GB2312" w:hAnsi="宋体" w:cs="宋体" w:hint="eastAsia"/>
          <w:color w:val="333333"/>
          <w:kern w:val="0"/>
          <w:sz w:val="32"/>
          <w:szCs w:val="32"/>
        </w:rPr>
        <w:t>九年义务教育全面普及，进入均衡发展新阶段，学前三年毛入园率提前实现《教育规划纲要》2020年目标，高中阶段教育基本普及，基本公共教育服务体系和现代职业教育体系基本确立，高等教育大众化水平显著提升，继续教育持续发展，全民终身学习的态势初步形成。教育质量稳步提升，我国学生在经济合作与发展组织开展的国际学生评估项目中表现良好，我国成为国际工程联盟本科教育互认协议成员，一批高校和学科世界排名显著提升。</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教育公平取得重要进展。</w:t>
      </w:r>
      <w:r w:rsidRPr="002B5208">
        <w:rPr>
          <w:rFonts w:ascii="仿宋_GB2312" w:eastAsia="仿宋_GB2312" w:hAnsi="宋体" w:cs="宋体" w:hint="eastAsia"/>
          <w:color w:val="333333"/>
          <w:kern w:val="0"/>
          <w:sz w:val="32"/>
          <w:szCs w:val="32"/>
        </w:rPr>
        <w:t>城乡和区域教育发展差距进一步缩小，大中城市义务教育阶段“择校热”有所缓解，国家助学制度更加完善，农村义务教育学生营养改善计划深入实</w:t>
      </w:r>
      <w:r w:rsidRPr="002B5208">
        <w:rPr>
          <w:rFonts w:ascii="仿宋_GB2312" w:eastAsia="仿宋_GB2312" w:hAnsi="宋体" w:cs="宋体" w:hint="eastAsia"/>
          <w:color w:val="333333"/>
          <w:kern w:val="0"/>
          <w:sz w:val="32"/>
          <w:szCs w:val="32"/>
        </w:rPr>
        <w:lastRenderedPageBreak/>
        <w:t>施，贫困地区学生的体质健康得到改善，进城务工人员随迁子女、农村留守儿童、残疾学生受教育权利得到更好保障，中西部地区特别是农村学生接受优质高等教育的机会明显增加。</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服务经济社会发展能力显著增强。</w:t>
      </w:r>
      <w:r w:rsidRPr="002B5208">
        <w:rPr>
          <w:rFonts w:ascii="仿宋_GB2312" w:eastAsia="仿宋_GB2312" w:hAnsi="宋体" w:cs="宋体" w:hint="eastAsia"/>
          <w:color w:val="333333"/>
          <w:kern w:val="0"/>
          <w:sz w:val="32"/>
          <w:szCs w:val="32"/>
        </w:rPr>
        <w:t>职业学校每年输送近1000万名技术技能人才，开展培训上亿人次。普通本科高校累计输送2000多万名专业人才。高等学校牵头承担了一大批国家重大科学研究任务和重大工程项目，产出了一大批服务国家战略、具有国际影响力的标志性研究成果，技术转移和成果转化成效明显。</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教育发展能力显著提升。</w:t>
      </w:r>
      <w:r w:rsidRPr="002B5208">
        <w:rPr>
          <w:rFonts w:ascii="仿宋_GB2312" w:eastAsia="仿宋_GB2312" w:hAnsi="宋体" w:cs="宋体" w:hint="eastAsia"/>
          <w:color w:val="333333"/>
          <w:kern w:val="0"/>
          <w:sz w:val="32"/>
          <w:szCs w:val="32"/>
        </w:rPr>
        <w:t>教育投入实现历史性突破，2012年首次实现国家财政性教育经费占国内生产总值4%的目标，生均拨款制度逐步建立，各级各类学校特别是农村学校办学条件有较大改善，教师队伍素质进一步提高，教育信息化全面推进。教育对外开放水平显著提升，国际影响力稳步增强。教育体制改革取得重要进展，人才培养体制、办学体制、管理体制、评价体制、保障体制改革全面深化，一些重点领域和环节取得突破性进展。考试招生制度改革全面启动，现代教育督导体系进一步完善。</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总体来看，《教育规划纲要》确定的阶段性目标如期实现，教育事业发展“十二五”规划圆满收官，我国教育进入提高质量、优化结构、促进公平的新阶段。</w:t>
      </w:r>
    </w:p>
    <w:tbl>
      <w:tblPr>
        <w:tblW w:w="907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344"/>
        <w:gridCol w:w="1559"/>
        <w:gridCol w:w="1559"/>
        <w:gridCol w:w="1610"/>
      </w:tblGrid>
      <w:tr w:rsidR="00B161C6" w:rsidRPr="00B161C6" w:rsidTr="002B5208">
        <w:trPr>
          <w:trHeight w:val="299"/>
          <w:jc w:val="center"/>
        </w:trPr>
        <w:tc>
          <w:tcPr>
            <w:tcW w:w="9072"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b/>
                <w:bCs/>
                <w:color w:val="333333"/>
                <w:kern w:val="0"/>
                <w:sz w:val="20"/>
                <w:szCs w:val="20"/>
              </w:rPr>
              <w:t>专栏</w:t>
            </w:r>
            <w:r w:rsidRPr="00B161C6">
              <w:rPr>
                <w:rFonts w:ascii="Calibri" w:eastAsia="宋体" w:hAnsi="Calibri" w:cs="Calibri"/>
                <w:b/>
                <w:bCs/>
                <w:color w:val="333333"/>
                <w:kern w:val="0"/>
                <w:sz w:val="20"/>
                <w:szCs w:val="20"/>
              </w:rPr>
              <w:t>1</w:t>
            </w:r>
            <w:r w:rsidRPr="00B161C6">
              <w:rPr>
                <w:rFonts w:ascii="宋体" w:eastAsia="宋体" w:hAnsi="宋体" w:cs="Calibri" w:hint="eastAsia"/>
                <w:b/>
                <w:bCs/>
                <w:color w:val="333333"/>
                <w:kern w:val="0"/>
                <w:sz w:val="20"/>
                <w:szCs w:val="20"/>
              </w:rPr>
              <w:t xml:space="preserve">　教育事业发展“十二五”规划主要目标实现情况</w:t>
            </w:r>
          </w:p>
        </w:tc>
      </w:tr>
      <w:tr w:rsidR="00B161C6" w:rsidRPr="00B161C6">
        <w:trPr>
          <w:trHeight w:val="377"/>
          <w:jc w:val="center"/>
        </w:trPr>
        <w:tc>
          <w:tcPr>
            <w:tcW w:w="43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B161C6">
            <w:pPr>
              <w:widowControl/>
              <w:spacing w:line="480" w:lineRule="auto"/>
              <w:jc w:val="center"/>
              <w:rPr>
                <w:rFonts w:ascii="Calibri" w:eastAsia="宋体" w:hAnsi="Calibri" w:cs="Calibri"/>
                <w:color w:val="333333"/>
                <w:kern w:val="0"/>
                <w:szCs w:val="21"/>
              </w:rPr>
            </w:pPr>
            <w:r w:rsidRPr="00B161C6">
              <w:rPr>
                <w:rFonts w:ascii="宋体" w:eastAsia="宋体" w:hAnsi="宋体" w:cs="Calibri" w:hint="eastAsia"/>
                <w:b/>
                <w:bCs/>
                <w:color w:val="333333"/>
                <w:kern w:val="0"/>
                <w:sz w:val="20"/>
                <w:szCs w:val="20"/>
              </w:rPr>
              <w:t>指　标</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b/>
                <w:bCs/>
                <w:color w:val="333333"/>
                <w:kern w:val="0"/>
                <w:sz w:val="20"/>
                <w:szCs w:val="20"/>
              </w:rPr>
              <w:t>单　位</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b/>
                <w:bCs/>
                <w:color w:val="333333"/>
                <w:kern w:val="0"/>
                <w:sz w:val="20"/>
                <w:szCs w:val="20"/>
              </w:rPr>
              <w:t>“十二五”</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b/>
                <w:bCs/>
                <w:color w:val="333333"/>
                <w:kern w:val="0"/>
                <w:sz w:val="20"/>
                <w:szCs w:val="20"/>
              </w:rPr>
              <w:t>规划目标</w:t>
            </w:r>
          </w:p>
        </w:tc>
        <w:tc>
          <w:tcPr>
            <w:tcW w:w="1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b/>
                <w:bCs/>
                <w:color w:val="333333"/>
                <w:kern w:val="0"/>
                <w:sz w:val="20"/>
                <w:szCs w:val="20"/>
              </w:rPr>
              <w:t>2015</w:t>
            </w:r>
            <w:r w:rsidRPr="00B161C6">
              <w:rPr>
                <w:rFonts w:ascii="宋体" w:eastAsia="宋体" w:hAnsi="宋体" w:cs="Calibri" w:hint="eastAsia"/>
                <w:b/>
                <w:bCs/>
                <w:color w:val="333333"/>
                <w:kern w:val="0"/>
                <w:sz w:val="20"/>
                <w:szCs w:val="20"/>
              </w:rPr>
              <w:t>年</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b/>
                <w:bCs/>
                <w:color w:val="333333"/>
                <w:kern w:val="0"/>
                <w:sz w:val="20"/>
                <w:szCs w:val="20"/>
              </w:rPr>
              <w:t>实现情况</w:t>
            </w:r>
          </w:p>
        </w:tc>
      </w:tr>
      <w:tr w:rsidR="00B161C6" w:rsidRPr="00B161C6">
        <w:trPr>
          <w:trHeight w:val="772"/>
          <w:jc w:val="center"/>
        </w:trPr>
        <w:tc>
          <w:tcPr>
            <w:tcW w:w="43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学前教育</w:t>
            </w:r>
          </w:p>
          <w:p w:rsidR="00B161C6" w:rsidRPr="00B161C6" w:rsidRDefault="00B161C6" w:rsidP="002B5208">
            <w:pPr>
              <w:widowControl/>
              <w:spacing w:line="0" w:lineRule="atLeast"/>
              <w:ind w:firstLine="2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在园幼儿数</w:t>
            </w:r>
          </w:p>
          <w:p w:rsidR="00B161C6" w:rsidRPr="00B161C6" w:rsidRDefault="00B161C6" w:rsidP="002B5208">
            <w:pPr>
              <w:widowControl/>
              <w:spacing w:line="0" w:lineRule="atLeast"/>
              <w:ind w:firstLine="2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学前三年毛入园率</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万人</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3700</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65</w:t>
            </w:r>
            <w:r w:rsidRPr="00B161C6">
              <w:rPr>
                <w:rFonts w:ascii="MingLiU_HKSCS" w:eastAsia="MingLiU_HKSCS" w:hAnsi="MingLiU_HKSCS" w:cs="Calibri" w:hint="eastAsia"/>
                <w:color w:val="333333"/>
                <w:kern w:val="0"/>
                <w:sz w:val="20"/>
                <w:szCs w:val="20"/>
              </w:rPr>
              <w:t>.</w:t>
            </w:r>
            <w:r w:rsidRPr="00B161C6">
              <w:rPr>
                <w:rFonts w:ascii="Calibri" w:eastAsia="宋体" w:hAnsi="Calibri" w:cs="Calibri"/>
                <w:color w:val="333333"/>
                <w:kern w:val="0"/>
                <w:sz w:val="20"/>
                <w:szCs w:val="20"/>
              </w:rPr>
              <w:t>0</w:t>
            </w:r>
          </w:p>
        </w:tc>
        <w:tc>
          <w:tcPr>
            <w:tcW w:w="1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4265</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75</w:t>
            </w:r>
            <w:r w:rsidRPr="00B161C6">
              <w:rPr>
                <w:rFonts w:ascii="MingLiU_HKSCS" w:eastAsia="MingLiU_HKSCS" w:hAnsi="MingLiU_HKSCS" w:cs="Calibri" w:hint="eastAsia"/>
                <w:color w:val="333333"/>
                <w:kern w:val="0"/>
                <w:sz w:val="20"/>
                <w:szCs w:val="20"/>
              </w:rPr>
              <w:t>.</w:t>
            </w:r>
            <w:r w:rsidRPr="00B161C6">
              <w:rPr>
                <w:rFonts w:ascii="Calibri" w:eastAsia="宋体" w:hAnsi="Calibri" w:cs="Calibri"/>
                <w:color w:val="333333"/>
                <w:kern w:val="0"/>
                <w:sz w:val="20"/>
                <w:szCs w:val="20"/>
              </w:rPr>
              <w:t>0</w:t>
            </w:r>
          </w:p>
        </w:tc>
      </w:tr>
      <w:tr w:rsidR="00B161C6" w:rsidRPr="00B161C6">
        <w:trPr>
          <w:trHeight w:val="772"/>
          <w:jc w:val="center"/>
        </w:trPr>
        <w:tc>
          <w:tcPr>
            <w:tcW w:w="43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lastRenderedPageBreak/>
              <w:t>九年义务教育</w:t>
            </w:r>
          </w:p>
          <w:p w:rsidR="00B161C6" w:rsidRPr="00B161C6" w:rsidRDefault="00B161C6" w:rsidP="002B5208">
            <w:pPr>
              <w:widowControl/>
              <w:spacing w:line="0" w:lineRule="atLeast"/>
              <w:ind w:firstLine="2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在校生</w:t>
            </w:r>
          </w:p>
          <w:p w:rsidR="00B161C6" w:rsidRPr="00B161C6" w:rsidRDefault="00B161C6" w:rsidP="002B5208">
            <w:pPr>
              <w:widowControl/>
              <w:spacing w:line="0" w:lineRule="atLeast"/>
              <w:ind w:firstLine="2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巩固率</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万人</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16100</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93</w:t>
            </w:r>
            <w:r w:rsidRPr="00B161C6">
              <w:rPr>
                <w:rFonts w:ascii="MingLiU_HKSCS" w:eastAsia="MingLiU_HKSCS" w:hAnsi="MingLiU_HKSCS" w:cs="Calibri" w:hint="eastAsia"/>
                <w:color w:val="333333"/>
                <w:kern w:val="0"/>
                <w:sz w:val="20"/>
                <w:szCs w:val="20"/>
              </w:rPr>
              <w:t>.</w:t>
            </w:r>
            <w:r w:rsidRPr="00B161C6">
              <w:rPr>
                <w:rFonts w:ascii="Calibri" w:eastAsia="宋体" w:hAnsi="Calibri" w:cs="Calibri"/>
                <w:color w:val="333333"/>
                <w:kern w:val="0"/>
                <w:sz w:val="20"/>
                <w:szCs w:val="20"/>
              </w:rPr>
              <w:t>0</w:t>
            </w:r>
          </w:p>
        </w:tc>
        <w:tc>
          <w:tcPr>
            <w:tcW w:w="1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14004</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93</w:t>
            </w:r>
            <w:r w:rsidRPr="00B161C6">
              <w:rPr>
                <w:rFonts w:ascii="MingLiU_HKSCS" w:eastAsia="MingLiU_HKSCS" w:hAnsi="MingLiU_HKSCS" w:cs="Calibri" w:hint="eastAsia"/>
                <w:color w:val="333333"/>
                <w:kern w:val="0"/>
                <w:sz w:val="20"/>
                <w:szCs w:val="20"/>
              </w:rPr>
              <w:t>.</w:t>
            </w:r>
            <w:r w:rsidRPr="00B161C6">
              <w:rPr>
                <w:rFonts w:ascii="Calibri" w:eastAsia="宋体" w:hAnsi="Calibri" w:cs="Calibri"/>
                <w:color w:val="333333"/>
                <w:kern w:val="0"/>
                <w:sz w:val="20"/>
                <w:szCs w:val="20"/>
              </w:rPr>
              <w:t>0</w:t>
            </w:r>
          </w:p>
        </w:tc>
      </w:tr>
      <w:tr w:rsidR="00B161C6" w:rsidRPr="00B161C6">
        <w:trPr>
          <w:trHeight w:val="1167"/>
          <w:jc w:val="center"/>
        </w:trPr>
        <w:tc>
          <w:tcPr>
            <w:tcW w:w="43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高中阶段教育</w:t>
            </w:r>
          </w:p>
          <w:p w:rsidR="00B161C6" w:rsidRPr="00B161C6" w:rsidRDefault="00B161C6" w:rsidP="002B5208">
            <w:pPr>
              <w:widowControl/>
              <w:spacing w:line="0" w:lineRule="atLeast"/>
              <w:ind w:firstLine="2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在校生</w:t>
            </w:r>
          </w:p>
          <w:p w:rsidR="00B161C6" w:rsidRPr="00B161C6" w:rsidRDefault="00B161C6" w:rsidP="002B5208">
            <w:pPr>
              <w:widowControl/>
              <w:spacing w:line="0" w:lineRule="atLeast"/>
              <w:ind w:firstLine="4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其中：中等职业教育</w:t>
            </w:r>
          </w:p>
          <w:p w:rsidR="00B161C6" w:rsidRPr="00B161C6" w:rsidRDefault="00B161C6" w:rsidP="002B5208">
            <w:pPr>
              <w:widowControl/>
              <w:spacing w:line="0" w:lineRule="atLeast"/>
              <w:ind w:firstLine="2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毛入学率</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万人</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万人</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4500</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2250</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87</w:t>
            </w:r>
            <w:r w:rsidRPr="00B161C6">
              <w:rPr>
                <w:rFonts w:ascii="MingLiU_HKSCS" w:eastAsia="MingLiU_HKSCS" w:hAnsi="MingLiU_HKSCS" w:cs="Calibri" w:hint="eastAsia"/>
                <w:color w:val="333333"/>
                <w:kern w:val="0"/>
                <w:sz w:val="20"/>
                <w:szCs w:val="20"/>
              </w:rPr>
              <w:t>.</w:t>
            </w:r>
            <w:r w:rsidRPr="00B161C6">
              <w:rPr>
                <w:rFonts w:ascii="Calibri" w:eastAsia="宋体" w:hAnsi="Calibri" w:cs="Calibri"/>
                <w:color w:val="333333"/>
                <w:kern w:val="0"/>
                <w:sz w:val="20"/>
                <w:szCs w:val="20"/>
              </w:rPr>
              <w:t>0</w:t>
            </w:r>
          </w:p>
        </w:tc>
        <w:tc>
          <w:tcPr>
            <w:tcW w:w="1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4038</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1657</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87</w:t>
            </w:r>
            <w:r w:rsidRPr="00B161C6">
              <w:rPr>
                <w:rFonts w:ascii="MingLiU_HKSCS" w:eastAsia="MingLiU_HKSCS" w:hAnsi="MingLiU_HKSCS" w:cs="Calibri" w:hint="eastAsia"/>
                <w:color w:val="333333"/>
                <w:kern w:val="0"/>
                <w:sz w:val="20"/>
                <w:szCs w:val="20"/>
              </w:rPr>
              <w:t>.</w:t>
            </w:r>
            <w:r w:rsidRPr="00B161C6">
              <w:rPr>
                <w:rFonts w:ascii="Calibri" w:eastAsia="宋体" w:hAnsi="Calibri" w:cs="Calibri"/>
                <w:color w:val="333333"/>
                <w:kern w:val="0"/>
                <w:sz w:val="20"/>
                <w:szCs w:val="20"/>
              </w:rPr>
              <w:t>0</w:t>
            </w:r>
          </w:p>
        </w:tc>
      </w:tr>
      <w:tr w:rsidR="00B161C6" w:rsidRPr="00B161C6">
        <w:trPr>
          <w:trHeight w:val="1167"/>
          <w:jc w:val="center"/>
        </w:trPr>
        <w:tc>
          <w:tcPr>
            <w:tcW w:w="43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高等教育</w:t>
            </w:r>
          </w:p>
          <w:p w:rsidR="00B161C6" w:rsidRPr="00B161C6" w:rsidRDefault="00B161C6" w:rsidP="002B5208">
            <w:pPr>
              <w:widowControl/>
              <w:spacing w:line="0" w:lineRule="atLeast"/>
              <w:ind w:firstLine="2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在学总规模</w:t>
            </w:r>
          </w:p>
          <w:p w:rsidR="00B161C6" w:rsidRPr="00B161C6" w:rsidRDefault="00B161C6" w:rsidP="002B5208">
            <w:pPr>
              <w:widowControl/>
              <w:spacing w:line="0" w:lineRule="atLeast"/>
              <w:ind w:firstLine="2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在校生</w:t>
            </w:r>
          </w:p>
          <w:p w:rsidR="00B161C6" w:rsidRPr="00B161C6" w:rsidRDefault="00B161C6" w:rsidP="002B5208">
            <w:pPr>
              <w:widowControl/>
              <w:spacing w:line="0" w:lineRule="atLeast"/>
              <w:ind w:firstLine="4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其中：研究生</w:t>
            </w:r>
          </w:p>
          <w:p w:rsidR="00B161C6" w:rsidRPr="00B161C6" w:rsidRDefault="00B161C6" w:rsidP="002B5208">
            <w:pPr>
              <w:widowControl/>
              <w:spacing w:line="0" w:lineRule="atLeast"/>
              <w:ind w:firstLine="2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毛入学率</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万人</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万人</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万人</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3350</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3080</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170</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36</w:t>
            </w:r>
            <w:r w:rsidRPr="00B161C6">
              <w:rPr>
                <w:rFonts w:ascii="MingLiU_HKSCS" w:eastAsia="MingLiU_HKSCS" w:hAnsi="MingLiU_HKSCS" w:cs="Calibri" w:hint="eastAsia"/>
                <w:color w:val="333333"/>
                <w:kern w:val="0"/>
                <w:sz w:val="20"/>
                <w:szCs w:val="20"/>
              </w:rPr>
              <w:t>.</w:t>
            </w:r>
            <w:r w:rsidRPr="00B161C6">
              <w:rPr>
                <w:rFonts w:ascii="Calibri" w:eastAsia="宋体" w:hAnsi="Calibri" w:cs="Calibri"/>
                <w:color w:val="333333"/>
                <w:kern w:val="0"/>
                <w:sz w:val="20"/>
                <w:szCs w:val="20"/>
              </w:rPr>
              <w:t>0</w:t>
            </w:r>
          </w:p>
        </w:tc>
        <w:tc>
          <w:tcPr>
            <w:tcW w:w="1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3647</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3452</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191</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40</w:t>
            </w:r>
            <w:r w:rsidRPr="00B161C6">
              <w:rPr>
                <w:rFonts w:ascii="MingLiU_HKSCS" w:eastAsia="MingLiU_HKSCS" w:hAnsi="MingLiU_HKSCS" w:cs="Calibri" w:hint="eastAsia"/>
                <w:color w:val="333333"/>
                <w:kern w:val="0"/>
                <w:sz w:val="20"/>
                <w:szCs w:val="20"/>
              </w:rPr>
              <w:t>.</w:t>
            </w:r>
            <w:r w:rsidRPr="00B161C6">
              <w:rPr>
                <w:rFonts w:ascii="Calibri" w:eastAsia="宋体" w:hAnsi="Calibri" w:cs="Calibri"/>
                <w:color w:val="333333"/>
                <w:kern w:val="0"/>
                <w:sz w:val="20"/>
                <w:szCs w:val="20"/>
              </w:rPr>
              <w:t>0</w:t>
            </w:r>
          </w:p>
        </w:tc>
      </w:tr>
      <w:tr w:rsidR="00B161C6" w:rsidRPr="00B161C6">
        <w:trPr>
          <w:trHeight w:val="1009"/>
          <w:jc w:val="center"/>
        </w:trPr>
        <w:tc>
          <w:tcPr>
            <w:tcW w:w="43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人力资源开发</w:t>
            </w:r>
          </w:p>
          <w:p w:rsidR="00B161C6" w:rsidRPr="00B161C6" w:rsidRDefault="00B161C6" w:rsidP="002B5208">
            <w:pPr>
              <w:widowControl/>
              <w:spacing w:line="0" w:lineRule="atLeast"/>
              <w:ind w:firstLine="2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新增劳动力平均受教育年限</w:t>
            </w:r>
          </w:p>
          <w:p w:rsidR="00B161C6" w:rsidRPr="00B161C6" w:rsidRDefault="00B161C6" w:rsidP="002B5208">
            <w:pPr>
              <w:widowControl/>
              <w:spacing w:line="0" w:lineRule="atLeast"/>
              <w:ind w:firstLine="2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主要劳动年龄人口接受高等教育的比例</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年</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13</w:t>
            </w:r>
            <w:r w:rsidRPr="00B161C6">
              <w:rPr>
                <w:rFonts w:ascii="MingLiU_HKSCS" w:eastAsia="MingLiU_HKSCS" w:hAnsi="MingLiU_HKSCS" w:cs="Calibri" w:hint="eastAsia"/>
                <w:color w:val="333333"/>
                <w:kern w:val="0"/>
                <w:sz w:val="20"/>
                <w:szCs w:val="20"/>
              </w:rPr>
              <w:t>.</w:t>
            </w:r>
            <w:r w:rsidRPr="00B161C6">
              <w:rPr>
                <w:rFonts w:ascii="Calibri" w:eastAsia="宋体" w:hAnsi="Calibri" w:cs="Calibri"/>
                <w:color w:val="333333"/>
                <w:kern w:val="0"/>
                <w:sz w:val="20"/>
                <w:szCs w:val="20"/>
              </w:rPr>
              <w:t>3</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15</w:t>
            </w:r>
            <w:r w:rsidRPr="00B161C6">
              <w:rPr>
                <w:rFonts w:ascii="MingLiU_HKSCS" w:eastAsia="MingLiU_HKSCS" w:hAnsi="MingLiU_HKSCS" w:cs="Calibri" w:hint="eastAsia"/>
                <w:color w:val="333333"/>
                <w:kern w:val="0"/>
                <w:sz w:val="20"/>
                <w:szCs w:val="20"/>
              </w:rPr>
              <w:t>.</w:t>
            </w:r>
            <w:r w:rsidRPr="00B161C6">
              <w:rPr>
                <w:rFonts w:ascii="Calibri" w:eastAsia="宋体" w:hAnsi="Calibri" w:cs="Calibri"/>
                <w:color w:val="333333"/>
                <w:kern w:val="0"/>
                <w:sz w:val="20"/>
                <w:szCs w:val="20"/>
              </w:rPr>
              <w:t>0</w:t>
            </w:r>
          </w:p>
        </w:tc>
        <w:tc>
          <w:tcPr>
            <w:tcW w:w="1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13</w:t>
            </w:r>
            <w:r w:rsidRPr="00B161C6">
              <w:rPr>
                <w:rFonts w:ascii="MingLiU_HKSCS" w:eastAsia="MingLiU_HKSCS" w:hAnsi="MingLiU_HKSCS" w:cs="Calibri" w:hint="eastAsia"/>
                <w:color w:val="333333"/>
                <w:kern w:val="0"/>
                <w:sz w:val="20"/>
                <w:szCs w:val="20"/>
              </w:rPr>
              <w:t>.</w:t>
            </w:r>
            <w:r w:rsidRPr="00B161C6">
              <w:rPr>
                <w:rFonts w:ascii="Calibri" w:eastAsia="宋体" w:hAnsi="Calibri" w:cs="Calibri"/>
                <w:color w:val="333333"/>
                <w:kern w:val="0"/>
                <w:sz w:val="20"/>
                <w:szCs w:val="20"/>
              </w:rPr>
              <w:t>3</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16</w:t>
            </w:r>
            <w:r w:rsidRPr="00B161C6">
              <w:rPr>
                <w:rFonts w:ascii="MingLiU_HKSCS" w:eastAsia="MingLiU_HKSCS" w:hAnsi="MingLiU_HKSCS" w:cs="Calibri" w:hint="eastAsia"/>
                <w:color w:val="333333"/>
                <w:kern w:val="0"/>
                <w:sz w:val="20"/>
                <w:szCs w:val="20"/>
              </w:rPr>
              <w:t>.</w:t>
            </w:r>
            <w:r w:rsidRPr="00B161C6">
              <w:rPr>
                <w:rFonts w:ascii="Calibri" w:eastAsia="宋体" w:hAnsi="Calibri" w:cs="Calibri"/>
                <w:color w:val="333333"/>
                <w:kern w:val="0"/>
                <w:sz w:val="20"/>
                <w:szCs w:val="20"/>
              </w:rPr>
              <w:t>9</w:t>
            </w:r>
          </w:p>
        </w:tc>
      </w:tr>
    </w:tbl>
    <w:p w:rsidR="00B161C6" w:rsidRPr="002B5208" w:rsidRDefault="00B161C6" w:rsidP="002B5208">
      <w:pPr>
        <w:widowControl/>
        <w:spacing w:line="0" w:lineRule="atLeast"/>
        <w:rPr>
          <w:rFonts w:ascii="宋体" w:eastAsia="宋体" w:hAnsi="宋体" w:cs="宋体"/>
          <w:color w:val="333333"/>
          <w:kern w:val="0"/>
          <w:sz w:val="18"/>
          <w:szCs w:val="18"/>
        </w:rPr>
      </w:pPr>
      <w:r w:rsidRPr="002B5208">
        <w:rPr>
          <w:rFonts w:ascii="宋体" w:eastAsia="宋体" w:hAnsi="宋体" w:cs="宋体" w:hint="eastAsia"/>
          <w:color w:val="333333"/>
          <w:kern w:val="0"/>
          <w:sz w:val="18"/>
          <w:szCs w:val="18"/>
        </w:rPr>
        <w:t xml:space="preserve">注：1.高等教育在校生含普通本专科、成人本专科和全日制研究生在校生。 </w:t>
      </w:r>
      <w:r w:rsidRPr="002B5208">
        <w:rPr>
          <w:rFonts w:ascii="宋体" w:eastAsia="宋体" w:hAnsi="宋体" w:cs="宋体" w:hint="eastAsia"/>
          <w:color w:val="333333"/>
          <w:kern w:val="0"/>
          <w:sz w:val="18"/>
          <w:szCs w:val="18"/>
        </w:rPr>
        <w:br/>
        <w:t xml:space="preserve">　　　　2.研究生数为全日制研究生在校生数。 </w:t>
      </w:r>
      <w:r w:rsidRPr="002B5208">
        <w:rPr>
          <w:rFonts w:ascii="宋体" w:eastAsia="宋体" w:hAnsi="宋体" w:cs="宋体" w:hint="eastAsia"/>
          <w:color w:val="333333"/>
          <w:kern w:val="0"/>
          <w:sz w:val="18"/>
          <w:szCs w:val="18"/>
        </w:rPr>
        <w:br/>
        <w:t xml:space="preserve">　　　　3.主要劳动年龄人口指20—59岁人口。</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十三五”时期，我国发展仍处于可以大有作为的重要战略机遇期，也面临诸多矛盾叠加、风险隐患增多的严峻挑战。有效应对各种风险和挑战，不断开拓发展新境界，对实现教育现代化提出了前所未有的新任务、新要求。</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从国际看，世界多极化、经济全球化、文化多样化、社会信息化深入发展，国际金融危机深层次影响在相当长时期依然存在，新一轮科技革命和产业变革蓄势待发，互联网、云计算、大数据、智能机器人、三维（3D）打印等现代技术深刻改变着人类的思维、生产、生活和学习方式，国际竞争日趋激烈，人才培养与争夺成为焦点。优先发展教育，构建现代教育体系，建设学习型社会，培养大批创新人才，已成为人类共同面临的重大课题和应对诸多复杂挑战、实现可持续发展的关键。</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从国内看，统筹推动“五位一体”总体布局和协调推进“四个全面”战略布局，贯彻落实创新、协调、绿色、开放、共享的新发展理念，实现2020年全面建成小康社会目标，深化供给侧结构性改革，保持经济中高速增长，深入实施创</w:t>
      </w:r>
      <w:r w:rsidRPr="002B5208">
        <w:rPr>
          <w:rFonts w:ascii="仿宋_GB2312" w:eastAsia="仿宋_GB2312" w:hAnsi="宋体" w:cs="宋体" w:hint="eastAsia"/>
          <w:color w:val="333333"/>
          <w:kern w:val="0"/>
          <w:sz w:val="32"/>
          <w:szCs w:val="32"/>
        </w:rPr>
        <w:lastRenderedPageBreak/>
        <w:t>新驱动发展战略，推进大众创业万众创新，实施“中国制造2025”和“一带一路”建设等战略，迫切需要教育优化人才培养结构，加快培养各类紧缺人才。保障基本民生，实现全体人民共同迈入全面小康社会，迫切要求完善基本公共教育服务体系。新型城镇化加快推进，人民群众生活水平和质量普遍提高，生育政策调整，学龄人口、劳动年龄人口规模结构改变，人口老龄化速度加快，教育需求发生结构性变化，对高质量、多样化的教育需求日益增长，教育体系、结构和布局面临深刻挑战。无论从当前推进经济转型升级，还是从长远促进经济和社会协调发展看，都需要抓住教育这一最基础环节，推进优先发展，提高国家发展水平。</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从教育领域看，当今世界教育正在发生革命性变化。确保包容、公平和有质量的教育，促进全民享有终身学习机会，成为世界教育发展新目标。教育与经济社会发展的结合更加紧密，以学习者为中心，注重能力培养，促进人的全面发展，全民学习、终身学习、个性化学习的理念日益深入人心。教育模式、形态、内容和学习方式正在发生深刻变革，教育治理呈现出多方合作、广泛参与的特点。要清醒地看到，我国教育改革发展虽然取得了显著成就，但尚不能完全适应人的全面发展和经济社会发展需要，仍存在一些突出问题，主要表现为：科学的教育理念尚未牢固确立，促进学生全面发展的育人模式与环境有待完善，产教融合、科教融合的协同培养机制尚未形成，学生创新创业能力的培养有待加强；教育发展还存在不平衡、不协调的问题，城乡、区域之间教育差距仍较大，优质教育资源总量不足、布局不合理，学前教育、职业教育、继续教育仍是教育体系中的突出短板，人才培养</w:t>
      </w:r>
      <w:r w:rsidRPr="002B5208">
        <w:rPr>
          <w:rFonts w:ascii="仿宋_GB2312" w:eastAsia="仿宋_GB2312" w:hAnsi="宋体" w:cs="宋体" w:hint="eastAsia"/>
          <w:color w:val="333333"/>
          <w:kern w:val="0"/>
          <w:sz w:val="32"/>
          <w:szCs w:val="32"/>
        </w:rPr>
        <w:lastRenderedPageBreak/>
        <w:t>的类型、层次和学科专业结构与社会需求不够契合；教师队伍素质和结构不能适应提升质量与促进公平的新要求；学校办学活力不强，促进和规范社会力量参与举办教育的法律制度和政策体系亟待完善，多方参与教育治理和评价的体制机制还不健全；教育对外开放的水平不够高；教育优先发展地位需进一步巩固。</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人才成就未来，教育成就梦想。人才和人力是国家最大的资源，今天培养的人才将是实现第二个百年奋斗目标的主力军，教育必须承担起实现中华民族伟大复兴中国梦赋予的历史使命，毫不动摇地坚持中国特色社会主义教育发展道路，不断深化对中国特色社会主义教育发展规律的认识，树立科学的教育发展观、质量观、人才观，以更加奋发有为的精神状态和踏石留印、抓铁有痕的工作作风，勇于实践，善于创新，不断实现改革新突破，迈上发展新台阶。</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（二）指导思想。</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全面贯彻党的十八大和十八届三中、四中、五中、六中全会精神，以马克思列宁主义、毛泽东思想、邓小平理论、“三个代表”重要思想、科学发展观为指导，深入贯彻习近平总书记系列重要讲话精神，认真落实党中央、国务院决策部署，紧紧围绕“五位一体”总体布局和“四个全面”战略布局，树立道路自信、理论自信、制度自信、文化自信，以创新、协调、绿色、开放、共享的发展理念统领教育改革发展，坚持党的领导，坚持社会主义办学方向，全面贯彻党的教育方针，全面深化教育改革，着力提高教育质量，着力优化教育结构，着力促进教育公平，加快推进教育现代化，推</w:t>
      </w:r>
      <w:r w:rsidRPr="002B5208">
        <w:rPr>
          <w:rFonts w:ascii="仿宋_GB2312" w:eastAsia="仿宋_GB2312" w:hAnsi="宋体" w:cs="宋体" w:hint="eastAsia"/>
          <w:color w:val="333333"/>
          <w:kern w:val="0"/>
          <w:sz w:val="32"/>
          <w:szCs w:val="32"/>
        </w:rPr>
        <w:lastRenderedPageBreak/>
        <w:t>动创新型国家和人才强国建设，为全面建成小康社会和实现中华民族伟大复兴的中国梦作出更大贡献。</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（三）基本原则。</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推进教育改革发展，实现更高质量、更加公平、更有效率、更可持续的发展，完成国家赋予的历史使命和战略任务，必须遵循以下基本原则：</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坚持优先发展。</w:t>
      </w:r>
      <w:r w:rsidRPr="002B5208">
        <w:rPr>
          <w:rFonts w:ascii="仿宋_GB2312" w:eastAsia="仿宋_GB2312" w:hAnsi="宋体" w:cs="宋体" w:hint="eastAsia"/>
          <w:color w:val="333333"/>
          <w:kern w:val="0"/>
          <w:sz w:val="32"/>
          <w:szCs w:val="32"/>
        </w:rPr>
        <w:t>人是国家发展的核心要素。要坚持把教育摆在优先发展的战略地位，充分发挥教育的基础性、先导性、全局性作用，更加注重教育和人力资源开发，加大投资于人的力度，面向现代化，面向世界，面向未来，超前规划，优先发展，加速人力资本积累，为国家和民族的未来奠基。</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坚持立德树人。</w:t>
      </w:r>
      <w:r w:rsidRPr="002B5208">
        <w:rPr>
          <w:rFonts w:ascii="仿宋_GB2312" w:eastAsia="仿宋_GB2312" w:hAnsi="宋体" w:cs="宋体" w:hint="eastAsia"/>
          <w:color w:val="333333"/>
          <w:kern w:val="0"/>
          <w:sz w:val="32"/>
          <w:szCs w:val="32"/>
        </w:rPr>
        <w:t>把立德树人作为教育的根本任务，培养德智体美全面发展的社会主义建设者和接班人。要遵循教书育人规律、遵循学生成长规律，以学生为主体，以教师为主导，创新育人模式，培育和践行社会主义核心价值观，不断提高学生思想水平、政治觉悟、道德品质、文化素养，让学生成为德才兼备、全面发展的人才。</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坚持服务导向。</w:t>
      </w:r>
      <w:r w:rsidRPr="002B5208">
        <w:rPr>
          <w:rFonts w:ascii="仿宋_GB2312" w:eastAsia="仿宋_GB2312" w:hAnsi="宋体" w:cs="宋体" w:hint="eastAsia"/>
          <w:color w:val="333333"/>
          <w:kern w:val="0"/>
          <w:sz w:val="32"/>
          <w:szCs w:val="32"/>
        </w:rPr>
        <w:t>服务国家发展和人民群众是对教育改革发展的基本要求。教育发展要适应中国特色社会主义现代化建设需要，服务全面建成小康社会和中华民族伟大复兴目标，主动适应和引领经济发展新常态，为国家现代化建设厚植人才优势，培育创新动力。要不断满足广大人民群众对更高质量、更为多样教育的需求，优先解决人民群众关心的重点、热点、难点和焦点问题。</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坚持促进公平。</w:t>
      </w:r>
      <w:r w:rsidRPr="002B5208">
        <w:rPr>
          <w:rFonts w:ascii="仿宋_GB2312" w:eastAsia="仿宋_GB2312" w:hAnsi="宋体" w:cs="宋体" w:hint="eastAsia"/>
          <w:color w:val="333333"/>
          <w:kern w:val="0"/>
          <w:sz w:val="32"/>
          <w:szCs w:val="32"/>
        </w:rPr>
        <w:t>教育的公平性是社会主义本质要求，要发展社会主义，逐步实现人民共同富裕，教育公平是基础。</w:t>
      </w:r>
      <w:r w:rsidRPr="002B5208">
        <w:rPr>
          <w:rFonts w:ascii="仿宋_GB2312" w:eastAsia="仿宋_GB2312" w:hAnsi="宋体" w:cs="宋体" w:hint="eastAsia"/>
          <w:color w:val="333333"/>
          <w:kern w:val="0"/>
          <w:sz w:val="32"/>
          <w:szCs w:val="32"/>
        </w:rPr>
        <w:lastRenderedPageBreak/>
        <w:t>注重有教无类，让全体人民、每个家庭的孩子都有机会接受比较好的教育，让教育改革发展成果更好地惠及最广大人民群众。突出精准扶贫，面向中西部地区特别是边远、贫困地区，加大对家庭经济困难学生帮扶力度。</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坚持改革创新。</w:t>
      </w:r>
      <w:r w:rsidRPr="002B5208">
        <w:rPr>
          <w:rFonts w:ascii="仿宋_GB2312" w:eastAsia="仿宋_GB2312" w:hAnsi="宋体" w:cs="宋体" w:hint="eastAsia"/>
          <w:color w:val="333333"/>
          <w:kern w:val="0"/>
          <w:sz w:val="32"/>
          <w:szCs w:val="32"/>
        </w:rPr>
        <w:t>改革创新是发展的根本动力。要不断深化教育综合改革，将顶层设计和实践探索有机结合，充分调动基层特别是广大学校、师生的积极性、主动性和创造性，创新体制机制和人才培养模式；要统筹利用国内国际教育资源，广泛借鉴吸收国际先进经验，进一步提升教育对外开放水平，通过改革创新和对外开放解决难题、激发活力、推动发展。</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坚持依法治教。</w:t>
      </w:r>
      <w:r w:rsidRPr="002B5208">
        <w:rPr>
          <w:rFonts w:ascii="仿宋_GB2312" w:eastAsia="仿宋_GB2312" w:hAnsi="宋体" w:cs="宋体" w:hint="eastAsia"/>
          <w:color w:val="333333"/>
          <w:kern w:val="0"/>
          <w:sz w:val="32"/>
          <w:szCs w:val="32"/>
        </w:rPr>
        <w:t>法治是实现教育现代化的可靠保障。要坚持依法行政、依法办学、依法执教，更加注重运用法治思维和法治方式推动教育改革发展，更加注重教育法律法规体系和执法体制机制建设，更加注重保障广大人民群众受教育权利和广大师生权益，更加注重保障人民群众对教育改革发展的知情权、参与权和监督权，依法推进教育治理能力现代化，为教育发展创造良好的法治环境。</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坚持党的领导。</w:t>
      </w:r>
      <w:r w:rsidRPr="002B5208">
        <w:rPr>
          <w:rFonts w:ascii="仿宋_GB2312" w:eastAsia="仿宋_GB2312" w:hAnsi="宋体" w:cs="宋体" w:hint="eastAsia"/>
          <w:color w:val="333333"/>
          <w:kern w:val="0"/>
          <w:sz w:val="32"/>
          <w:szCs w:val="32"/>
        </w:rPr>
        <w:t>办好中国特色社会主义教育事业关键在党，必须牢牢掌握党对教育工作的领导权，坚持正确的政治方向，掌握教育领域意识形态工作的主导权，着力加强教育系统党的思想建设、组织建设、作风建设、反腐倡廉建设、制度建设，增强政治意识、大局意识、核心意识、看齐意识，强化基层党组织的创造力、凝聚力、战斗力，为教育改革发展提供坚强的政治保证和组织保障。</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（四）主要目标。</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lastRenderedPageBreak/>
        <w:t>“十三五”时期教育改革发展的总目标是：教育现代化取得重要进展，教育总体实力和国际影响力显著增强，推动我国迈入人力资源强国和人才强国行列，为实现中国教育现代化2030远景目标奠定坚实基础。</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全民终身学习机会进一步扩大。</w:t>
      </w:r>
      <w:r w:rsidRPr="002B5208">
        <w:rPr>
          <w:rFonts w:ascii="仿宋_GB2312" w:eastAsia="仿宋_GB2312" w:hAnsi="宋体" w:cs="宋体" w:hint="eastAsia"/>
          <w:color w:val="333333"/>
          <w:kern w:val="0"/>
          <w:sz w:val="32"/>
          <w:szCs w:val="32"/>
        </w:rPr>
        <w:t>形成更加适应全民学习、终身学习的现代教育体系，现代职业教育体系更加完善。学前教育机会显著增加，义务教育普及成果进一步巩固提升，普及高中阶段教育，高等教育发展进入普及化阶段，继续教育参与率明显提升，学习型社会建设迈上新台阶。</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教育质量全面提升。</w:t>
      </w:r>
      <w:r w:rsidRPr="002B5208">
        <w:rPr>
          <w:rFonts w:ascii="仿宋_GB2312" w:eastAsia="仿宋_GB2312" w:hAnsi="宋体" w:cs="宋体" w:hint="eastAsia"/>
          <w:color w:val="333333"/>
          <w:kern w:val="0"/>
          <w:sz w:val="32"/>
          <w:szCs w:val="32"/>
        </w:rPr>
        <w:t>教师素质进一步提高，学校办学条件明显改善，教育信息化实现新突破，形成信息技术与教育融合创新发展的新局面，学习的便捷性和灵活性明显增强。教育教学改革取得重要进展，学生的思想道德素质、科学文化素质、身心健康素质明显提高，社会责任感、法治意识、创新精神和实践能力显著增强，学业水平和自主学习、终身学习能力全面提升。</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教育发展成果更公平地惠及全民。</w:t>
      </w:r>
      <w:r w:rsidRPr="002B5208">
        <w:rPr>
          <w:rFonts w:ascii="仿宋_GB2312" w:eastAsia="仿宋_GB2312" w:hAnsi="宋体" w:cs="宋体" w:hint="eastAsia"/>
          <w:color w:val="333333"/>
          <w:kern w:val="0"/>
          <w:sz w:val="32"/>
          <w:szCs w:val="32"/>
        </w:rPr>
        <w:t>完成教育脱贫攻坚任务，精准扶贫、精准脱贫的效果充分显现。实现家庭经济困难学生资助全覆盖，困难群体、妇女儿童平等受教育权利得到更好保障。义务教育实现基本均衡的县（市、区）比例达到95%，城乡、区域、学校之间差距进一步缩小，建成覆盖城乡、更加均衡的基本公共教育服务体系。人民群众高质量、个性化、多样化的学习需求得到更好满足。</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人才供给和高校创新能力明显提升。</w:t>
      </w:r>
      <w:r w:rsidRPr="002B5208">
        <w:rPr>
          <w:rFonts w:ascii="仿宋_GB2312" w:eastAsia="仿宋_GB2312" w:hAnsi="宋体" w:cs="宋体" w:hint="eastAsia"/>
          <w:color w:val="333333"/>
          <w:kern w:val="0"/>
          <w:sz w:val="32"/>
          <w:szCs w:val="32"/>
        </w:rPr>
        <w:t>创新型、复合型、应用型和技术技能型人才培养比例显著提高，人才培养结构更趋合理。各类人才服务国家和区域经济社会发展、参与国</w:t>
      </w:r>
      <w:r w:rsidRPr="002B5208">
        <w:rPr>
          <w:rFonts w:ascii="仿宋_GB2312" w:eastAsia="仿宋_GB2312" w:hAnsi="宋体" w:cs="宋体" w:hint="eastAsia"/>
          <w:color w:val="333333"/>
          <w:kern w:val="0"/>
          <w:sz w:val="32"/>
          <w:szCs w:val="32"/>
        </w:rPr>
        <w:lastRenderedPageBreak/>
        <w:t>际竞争的能力显著增强。提高高等教育发展水平，若干所大学和一批学科进入世界一流行列，若干学科进入世界一流学科前列，在高校建成一批服务国家战略的创新基地和新型智库，创新服务能力全面提升，涌现一批重大创新成果，促进培育新动能，推动文化繁荣和社会进步，增强国家核心竞争力。</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教育体系制度更加成熟定型。</w:t>
      </w:r>
      <w:r w:rsidRPr="002B5208">
        <w:rPr>
          <w:rFonts w:ascii="仿宋_GB2312" w:eastAsia="仿宋_GB2312" w:hAnsi="宋体" w:cs="宋体" w:hint="eastAsia"/>
          <w:color w:val="333333"/>
          <w:kern w:val="0"/>
          <w:sz w:val="32"/>
          <w:szCs w:val="32"/>
        </w:rPr>
        <w:t>教育法律法规体系和执法体制机制更加健全，教育标准、监管、评价、督导、投入保障、教师队伍建设等基础性制度体系更加完善，社会力量举办教育、参与教育改革发展的制度更加完备有效。基本实现管办评分离，形成政府依法管理、学校依法自主办学、社会各界依法参与和监督的格局，教育治理体系和治理能力现代化水平明显提升。</w:t>
      </w:r>
    </w:p>
    <w:tbl>
      <w:tblPr>
        <w:tblW w:w="907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887"/>
        <w:gridCol w:w="1660"/>
        <w:gridCol w:w="1661"/>
        <w:gridCol w:w="1864"/>
      </w:tblGrid>
      <w:tr w:rsidR="00B161C6" w:rsidRPr="00B161C6" w:rsidTr="002B5208">
        <w:trPr>
          <w:trHeight w:val="558"/>
          <w:jc w:val="center"/>
        </w:trPr>
        <w:tc>
          <w:tcPr>
            <w:tcW w:w="9072"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b/>
                <w:bCs/>
                <w:color w:val="333333"/>
                <w:kern w:val="0"/>
                <w:sz w:val="20"/>
                <w:szCs w:val="20"/>
              </w:rPr>
              <w:t>专栏</w:t>
            </w:r>
            <w:r w:rsidRPr="00B161C6">
              <w:rPr>
                <w:rFonts w:ascii="Calibri" w:eastAsia="宋体" w:hAnsi="Calibri" w:cs="Calibri"/>
                <w:b/>
                <w:bCs/>
                <w:color w:val="333333"/>
                <w:kern w:val="0"/>
                <w:sz w:val="20"/>
                <w:szCs w:val="20"/>
              </w:rPr>
              <w:t>2</w:t>
            </w:r>
            <w:r w:rsidRPr="00B161C6">
              <w:rPr>
                <w:rFonts w:ascii="宋体" w:eastAsia="宋体" w:hAnsi="宋体" w:cs="Calibri" w:hint="eastAsia"/>
                <w:b/>
                <w:bCs/>
                <w:color w:val="333333"/>
                <w:kern w:val="0"/>
                <w:sz w:val="20"/>
                <w:szCs w:val="20"/>
              </w:rPr>
              <w:t xml:space="preserve">　教育事业发展和人力资源开发“十三五”主要目标</w:t>
            </w:r>
          </w:p>
        </w:tc>
      </w:tr>
      <w:tr w:rsidR="00B161C6" w:rsidRPr="00B161C6" w:rsidTr="002B5208">
        <w:trPr>
          <w:trHeight w:val="410"/>
          <w:jc w:val="center"/>
        </w:trPr>
        <w:tc>
          <w:tcPr>
            <w:tcW w:w="38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b/>
                <w:bCs/>
                <w:color w:val="333333"/>
                <w:kern w:val="0"/>
                <w:sz w:val="20"/>
                <w:szCs w:val="20"/>
              </w:rPr>
              <w:t>指　标</w:t>
            </w:r>
          </w:p>
        </w:tc>
        <w:tc>
          <w:tcPr>
            <w:tcW w:w="16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b/>
                <w:bCs/>
                <w:color w:val="333333"/>
                <w:kern w:val="0"/>
                <w:sz w:val="20"/>
                <w:szCs w:val="20"/>
              </w:rPr>
              <w:t>2015</w:t>
            </w:r>
            <w:r w:rsidRPr="00B161C6">
              <w:rPr>
                <w:rFonts w:ascii="宋体" w:eastAsia="宋体" w:hAnsi="宋体" w:cs="Calibri" w:hint="eastAsia"/>
                <w:b/>
                <w:bCs/>
                <w:color w:val="333333"/>
                <w:kern w:val="0"/>
                <w:sz w:val="20"/>
                <w:szCs w:val="20"/>
              </w:rPr>
              <w:t>年</w:t>
            </w:r>
          </w:p>
        </w:tc>
        <w:tc>
          <w:tcPr>
            <w:tcW w:w="16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b/>
                <w:bCs/>
                <w:color w:val="333333"/>
                <w:kern w:val="0"/>
                <w:sz w:val="20"/>
                <w:szCs w:val="20"/>
              </w:rPr>
              <w:t>2020</w:t>
            </w:r>
            <w:r w:rsidRPr="00B161C6">
              <w:rPr>
                <w:rFonts w:ascii="宋体" w:eastAsia="宋体" w:hAnsi="宋体" w:cs="Calibri" w:hint="eastAsia"/>
                <w:b/>
                <w:bCs/>
                <w:color w:val="333333"/>
                <w:kern w:val="0"/>
                <w:sz w:val="20"/>
                <w:szCs w:val="20"/>
              </w:rPr>
              <w:t>年</w:t>
            </w:r>
          </w:p>
        </w:tc>
        <w:tc>
          <w:tcPr>
            <w:tcW w:w="18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b/>
                <w:bCs/>
                <w:color w:val="333333"/>
                <w:kern w:val="0"/>
                <w:sz w:val="20"/>
                <w:szCs w:val="20"/>
              </w:rPr>
              <w:t>属　性</w:t>
            </w:r>
          </w:p>
        </w:tc>
      </w:tr>
      <w:tr w:rsidR="00B161C6" w:rsidRPr="00B161C6" w:rsidTr="002B5208">
        <w:trPr>
          <w:jc w:val="center"/>
        </w:trPr>
        <w:tc>
          <w:tcPr>
            <w:tcW w:w="38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学前教育</w:t>
            </w:r>
          </w:p>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在园幼儿数（万人）</w:t>
            </w:r>
          </w:p>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学前三年毛入园率（</w:t>
            </w:r>
            <w:r w:rsidRPr="00B161C6">
              <w:rPr>
                <w:rFonts w:ascii="Calibri" w:eastAsia="宋体" w:hAnsi="Calibri" w:cs="Calibri"/>
                <w:color w:val="333333"/>
                <w:kern w:val="0"/>
                <w:sz w:val="20"/>
                <w:szCs w:val="20"/>
              </w:rPr>
              <w:t>%</w:t>
            </w:r>
            <w:r w:rsidRPr="00B161C6">
              <w:rPr>
                <w:rFonts w:ascii="宋体" w:eastAsia="宋体" w:hAnsi="宋体" w:cs="Calibri" w:hint="eastAsia"/>
                <w:color w:val="333333"/>
                <w:kern w:val="0"/>
                <w:sz w:val="20"/>
                <w:szCs w:val="20"/>
              </w:rPr>
              <w:t>）</w:t>
            </w:r>
          </w:p>
        </w:tc>
        <w:tc>
          <w:tcPr>
            <w:tcW w:w="16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4265</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75</w:t>
            </w:r>
            <w:r w:rsidRPr="00B161C6">
              <w:rPr>
                <w:rFonts w:ascii="MingLiU_HKSCS" w:eastAsia="MingLiU_HKSCS" w:hAnsi="MingLiU_HKSCS" w:cs="Calibri" w:hint="eastAsia"/>
                <w:color w:val="333333"/>
                <w:kern w:val="0"/>
                <w:sz w:val="20"/>
                <w:szCs w:val="20"/>
              </w:rPr>
              <w:t>.</w:t>
            </w:r>
            <w:r w:rsidRPr="00B161C6">
              <w:rPr>
                <w:rFonts w:ascii="Calibri" w:eastAsia="宋体" w:hAnsi="Calibri" w:cs="Calibri"/>
                <w:color w:val="333333"/>
                <w:kern w:val="0"/>
                <w:sz w:val="20"/>
                <w:szCs w:val="20"/>
              </w:rPr>
              <w:t>0</w:t>
            </w:r>
          </w:p>
        </w:tc>
        <w:tc>
          <w:tcPr>
            <w:tcW w:w="16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4500</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85</w:t>
            </w:r>
            <w:r w:rsidRPr="00B161C6">
              <w:rPr>
                <w:rFonts w:ascii="MingLiU_HKSCS" w:eastAsia="MingLiU_HKSCS" w:hAnsi="MingLiU_HKSCS" w:cs="Calibri" w:hint="eastAsia"/>
                <w:color w:val="333333"/>
                <w:kern w:val="0"/>
                <w:sz w:val="20"/>
                <w:szCs w:val="20"/>
              </w:rPr>
              <w:t>.</w:t>
            </w:r>
            <w:r w:rsidRPr="00B161C6">
              <w:rPr>
                <w:rFonts w:ascii="Calibri" w:eastAsia="宋体" w:hAnsi="Calibri" w:cs="Calibri"/>
                <w:color w:val="333333"/>
                <w:kern w:val="0"/>
                <w:sz w:val="20"/>
                <w:szCs w:val="20"/>
              </w:rPr>
              <w:t>0</w:t>
            </w:r>
          </w:p>
        </w:tc>
        <w:tc>
          <w:tcPr>
            <w:tcW w:w="18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预期性</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预期性</w:t>
            </w:r>
          </w:p>
        </w:tc>
      </w:tr>
      <w:tr w:rsidR="00B161C6" w:rsidRPr="00B161C6" w:rsidTr="002B5208">
        <w:trPr>
          <w:jc w:val="center"/>
        </w:trPr>
        <w:tc>
          <w:tcPr>
            <w:tcW w:w="38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九年义务教育</w:t>
            </w:r>
          </w:p>
          <w:p w:rsidR="00B161C6" w:rsidRPr="00B161C6" w:rsidRDefault="00B161C6" w:rsidP="002B5208">
            <w:pPr>
              <w:widowControl/>
              <w:spacing w:line="0" w:lineRule="atLeast"/>
              <w:ind w:firstLine="2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在校生（万人）</w:t>
            </w:r>
          </w:p>
          <w:p w:rsidR="00B161C6" w:rsidRPr="00B161C6" w:rsidRDefault="00B161C6" w:rsidP="002B5208">
            <w:pPr>
              <w:widowControl/>
              <w:spacing w:line="0" w:lineRule="atLeast"/>
              <w:ind w:firstLine="2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巩固率（</w:t>
            </w:r>
            <w:r w:rsidRPr="00B161C6">
              <w:rPr>
                <w:rFonts w:ascii="Calibri" w:eastAsia="宋体" w:hAnsi="Calibri" w:cs="Calibri"/>
                <w:color w:val="333333"/>
                <w:kern w:val="0"/>
                <w:sz w:val="20"/>
                <w:szCs w:val="20"/>
              </w:rPr>
              <w:t>%</w:t>
            </w:r>
            <w:r w:rsidRPr="00B161C6">
              <w:rPr>
                <w:rFonts w:ascii="宋体" w:eastAsia="宋体" w:hAnsi="宋体" w:cs="Calibri" w:hint="eastAsia"/>
                <w:color w:val="333333"/>
                <w:kern w:val="0"/>
                <w:sz w:val="20"/>
                <w:szCs w:val="20"/>
              </w:rPr>
              <w:t>）</w:t>
            </w:r>
          </w:p>
        </w:tc>
        <w:tc>
          <w:tcPr>
            <w:tcW w:w="16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14004</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93</w:t>
            </w:r>
            <w:r w:rsidRPr="00B161C6">
              <w:rPr>
                <w:rFonts w:ascii="MingLiU_HKSCS" w:eastAsia="MingLiU_HKSCS" w:hAnsi="MingLiU_HKSCS" w:cs="Calibri" w:hint="eastAsia"/>
                <w:color w:val="333333"/>
                <w:kern w:val="0"/>
                <w:sz w:val="20"/>
                <w:szCs w:val="20"/>
              </w:rPr>
              <w:t>.</w:t>
            </w:r>
            <w:r w:rsidRPr="00B161C6">
              <w:rPr>
                <w:rFonts w:ascii="Calibri" w:eastAsia="宋体" w:hAnsi="Calibri" w:cs="Calibri"/>
                <w:color w:val="333333"/>
                <w:kern w:val="0"/>
                <w:sz w:val="20"/>
                <w:szCs w:val="20"/>
              </w:rPr>
              <w:t>0</w:t>
            </w:r>
          </w:p>
        </w:tc>
        <w:tc>
          <w:tcPr>
            <w:tcW w:w="16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15000</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95</w:t>
            </w:r>
            <w:r w:rsidRPr="00B161C6">
              <w:rPr>
                <w:rFonts w:ascii="MingLiU_HKSCS" w:eastAsia="MingLiU_HKSCS" w:hAnsi="MingLiU_HKSCS" w:cs="Calibri" w:hint="eastAsia"/>
                <w:color w:val="333333"/>
                <w:kern w:val="0"/>
                <w:sz w:val="20"/>
                <w:szCs w:val="20"/>
              </w:rPr>
              <w:t>.</w:t>
            </w:r>
            <w:r w:rsidRPr="00B161C6">
              <w:rPr>
                <w:rFonts w:ascii="Calibri" w:eastAsia="宋体" w:hAnsi="Calibri" w:cs="Calibri"/>
                <w:color w:val="333333"/>
                <w:kern w:val="0"/>
                <w:sz w:val="20"/>
                <w:szCs w:val="20"/>
              </w:rPr>
              <w:t>0</w:t>
            </w:r>
          </w:p>
        </w:tc>
        <w:tc>
          <w:tcPr>
            <w:tcW w:w="18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预期性</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约束性</w:t>
            </w:r>
          </w:p>
        </w:tc>
      </w:tr>
      <w:tr w:rsidR="00B161C6" w:rsidRPr="00B161C6" w:rsidTr="002B5208">
        <w:trPr>
          <w:jc w:val="center"/>
        </w:trPr>
        <w:tc>
          <w:tcPr>
            <w:tcW w:w="38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高中阶段教育</w:t>
            </w:r>
          </w:p>
          <w:p w:rsidR="00B161C6" w:rsidRPr="00B161C6" w:rsidRDefault="00B161C6" w:rsidP="002B5208">
            <w:pPr>
              <w:widowControl/>
              <w:spacing w:line="0" w:lineRule="atLeast"/>
              <w:ind w:firstLine="2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在校生（万人）</w:t>
            </w:r>
          </w:p>
          <w:p w:rsidR="00B161C6" w:rsidRPr="00B161C6" w:rsidRDefault="00B161C6" w:rsidP="002B5208">
            <w:pPr>
              <w:widowControl/>
              <w:spacing w:line="0" w:lineRule="atLeast"/>
              <w:ind w:firstLine="4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其中：中等职业教育</w:t>
            </w:r>
          </w:p>
          <w:p w:rsidR="00B161C6" w:rsidRPr="00B161C6" w:rsidRDefault="00B161C6" w:rsidP="002B5208">
            <w:pPr>
              <w:widowControl/>
              <w:spacing w:line="0" w:lineRule="atLeast"/>
              <w:ind w:firstLine="2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毛入学率（</w:t>
            </w:r>
            <w:r w:rsidRPr="00B161C6">
              <w:rPr>
                <w:rFonts w:ascii="Calibri" w:eastAsia="宋体" w:hAnsi="Calibri" w:cs="Calibri"/>
                <w:color w:val="333333"/>
                <w:kern w:val="0"/>
                <w:sz w:val="20"/>
                <w:szCs w:val="20"/>
              </w:rPr>
              <w:t>%</w:t>
            </w:r>
            <w:r w:rsidRPr="00B161C6">
              <w:rPr>
                <w:rFonts w:ascii="宋体" w:eastAsia="宋体" w:hAnsi="宋体" w:cs="Calibri" w:hint="eastAsia"/>
                <w:color w:val="333333"/>
                <w:kern w:val="0"/>
                <w:sz w:val="20"/>
                <w:szCs w:val="20"/>
              </w:rPr>
              <w:t>）</w:t>
            </w:r>
          </w:p>
        </w:tc>
        <w:tc>
          <w:tcPr>
            <w:tcW w:w="16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4038</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1657</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87</w:t>
            </w:r>
            <w:r w:rsidRPr="00B161C6">
              <w:rPr>
                <w:rFonts w:ascii="MingLiU_HKSCS" w:eastAsia="MingLiU_HKSCS" w:hAnsi="MingLiU_HKSCS" w:cs="Calibri" w:hint="eastAsia"/>
                <w:color w:val="333333"/>
                <w:kern w:val="0"/>
                <w:sz w:val="20"/>
                <w:szCs w:val="20"/>
              </w:rPr>
              <w:t>.</w:t>
            </w:r>
            <w:r w:rsidRPr="00B161C6">
              <w:rPr>
                <w:rFonts w:ascii="Calibri" w:eastAsia="宋体" w:hAnsi="Calibri" w:cs="Calibri"/>
                <w:color w:val="333333"/>
                <w:kern w:val="0"/>
                <w:sz w:val="20"/>
                <w:szCs w:val="20"/>
              </w:rPr>
              <w:t>0</w:t>
            </w:r>
          </w:p>
        </w:tc>
        <w:tc>
          <w:tcPr>
            <w:tcW w:w="16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4130</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1870</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90</w:t>
            </w:r>
            <w:r w:rsidRPr="00B161C6">
              <w:rPr>
                <w:rFonts w:ascii="MingLiU_HKSCS" w:eastAsia="MingLiU_HKSCS" w:hAnsi="MingLiU_HKSCS" w:cs="Calibri" w:hint="eastAsia"/>
                <w:color w:val="333333"/>
                <w:kern w:val="0"/>
                <w:sz w:val="20"/>
                <w:szCs w:val="20"/>
              </w:rPr>
              <w:t>.</w:t>
            </w:r>
            <w:r w:rsidRPr="00B161C6">
              <w:rPr>
                <w:rFonts w:ascii="Calibri" w:eastAsia="宋体" w:hAnsi="Calibri" w:cs="Calibri"/>
                <w:color w:val="333333"/>
                <w:kern w:val="0"/>
                <w:sz w:val="20"/>
                <w:szCs w:val="20"/>
              </w:rPr>
              <w:t xml:space="preserve">0 </w:t>
            </w:r>
          </w:p>
        </w:tc>
        <w:tc>
          <w:tcPr>
            <w:tcW w:w="18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预期性</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预期性</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预期性</w:t>
            </w:r>
          </w:p>
        </w:tc>
      </w:tr>
      <w:tr w:rsidR="00B161C6" w:rsidRPr="00B161C6" w:rsidTr="002B5208">
        <w:trPr>
          <w:jc w:val="center"/>
        </w:trPr>
        <w:tc>
          <w:tcPr>
            <w:tcW w:w="38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高等教育</w:t>
            </w:r>
          </w:p>
          <w:p w:rsidR="00B161C6" w:rsidRPr="00B161C6" w:rsidRDefault="00B161C6" w:rsidP="002B5208">
            <w:pPr>
              <w:widowControl/>
              <w:spacing w:line="0" w:lineRule="atLeast"/>
              <w:ind w:firstLine="2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在学总规模（万人）</w:t>
            </w:r>
          </w:p>
          <w:p w:rsidR="00B161C6" w:rsidRPr="00B161C6" w:rsidRDefault="00B161C6" w:rsidP="002B5208">
            <w:pPr>
              <w:widowControl/>
              <w:spacing w:line="0" w:lineRule="atLeast"/>
              <w:ind w:firstLine="2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在校生（万人）</w:t>
            </w:r>
          </w:p>
          <w:p w:rsidR="00B161C6" w:rsidRPr="00B161C6" w:rsidRDefault="00B161C6" w:rsidP="002B5208">
            <w:pPr>
              <w:widowControl/>
              <w:spacing w:line="0" w:lineRule="atLeast"/>
              <w:ind w:hanging="6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其中：研究生（万人）（含全日制和非全日制研究生）</w:t>
            </w:r>
          </w:p>
          <w:p w:rsidR="00B161C6" w:rsidRPr="00B161C6" w:rsidRDefault="00B161C6" w:rsidP="002B5208">
            <w:pPr>
              <w:widowControl/>
              <w:spacing w:line="0" w:lineRule="atLeast"/>
              <w:ind w:firstLine="4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其中：普通本专科（万人）</w:t>
            </w:r>
          </w:p>
          <w:p w:rsidR="00B161C6" w:rsidRPr="00B161C6" w:rsidRDefault="00B161C6" w:rsidP="002B5208">
            <w:pPr>
              <w:widowControl/>
              <w:spacing w:line="0" w:lineRule="atLeast"/>
              <w:ind w:firstLine="2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毛入学率（</w:t>
            </w:r>
            <w:r w:rsidRPr="00B161C6">
              <w:rPr>
                <w:rFonts w:ascii="Calibri" w:eastAsia="宋体" w:hAnsi="Calibri" w:cs="Calibri"/>
                <w:color w:val="333333"/>
                <w:kern w:val="0"/>
                <w:sz w:val="20"/>
                <w:szCs w:val="20"/>
              </w:rPr>
              <w:t>%</w:t>
            </w:r>
            <w:r w:rsidRPr="00B161C6">
              <w:rPr>
                <w:rFonts w:ascii="宋体" w:eastAsia="宋体" w:hAnsi="宋体" w:cs="Calibri" w:hint="eastAsia"/>
                <w:color w:val="333333"/>
                <w:kern w:val="0"/>
                <w:sz w:val="20"/>
                <w:szCs w:val="20"/>
              </w:rPr>
              <w:t>）</w:t>
            </w:r>
          </w:p>
        </w:tc>
        <w:tc>
          <w:tcPr>
            <w:tcW w:w="16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3647</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3511</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250</w:t>
            </w:r>
            <w:r w:rsidRPr="00B161C6">
              <w:rPr>
                <w:rFonts w:ascii="宋体" w:eastAsia="宋体" w:hAnsi="宋体" w:cs="Calibri" w:hint="eastAsia"/>
                <w:color w:val="333333"/>
                <w:kern w:val="0"/>
                <w:sz w:val="20"/>
                <w:szCs w:val="20"/>
              </w:rPr>
              <w:t>［</w:t>
            </w:r>
            <w:r w:rsidRPr="00B161C6">
              <w:rPr>
                <w:rFonts w:ascii="Calibri" w:eastAsia="宋体" w:hAnsi="Calibri" w:cs="Calibri"/>
                <w:color w:val="333333"/>
                <w:kern w:val="0"/>
                <w:sz w:val="20"/>
                <w:szCs w:val="20"/>
              </w:rPr>
              <w:t>191</w:t>
            </w:r>
            <w:r w:rsidRPr="00B161C6">
              <w:rPr>
                <w:rFonts w:ascii="宋体" w:eastAsia="宋体" w:hAnsi="宋体" w:cs="Calibri" w:hint="eastAsia"/>
                <w:color w:val="333333"/>
                <w:kern w:val="0"/>
                <w:sz w:val="20"/>
                <w:szCs w:val="20"/>
              </w:rPr>
              <w:t>］</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2625</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40</w:t>
            </w:r>
            <w:r w:rsidRPr="00B161C6">
              <w:rPr>
                <w:rFonts w:ascii="MingLiU_HKSCS" w:eastAsia="MingLiU_HKSCS" w:hAnsi="MingLiU_HKSCS" w:cs="Calibri" w:hint="eastAsia"/>
                <w:color w:val="333333"/>
                <w:kern w:val="0"/>
                <w:sz w:val="20"/>
                <w:szCs w:val="20"/>
              </w:rPr>
              <w:t>.</w:t>
            </w:r>
            <w:r w:rsidRPr="00B161C6">
              <w:rPr>
                <w:rFonts w:ascii="Calibri" w:eastAsia="宋体" w:hAnsi="Calibri" w:cs="Calibri"/>
                <w:color w:val="333333"/>
                <w:kern w:val="0"/>
                <w:sz w:val="20"/>
                <w:szCs w:val="20"/>
              </w:rPr>
              <w:t>0</w:t>
            </w:r>
          </w:p>
        </w:tc>
        <w:tc>
          <w:tcPr>
            <w:tcW w:w="16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3850</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3680</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290</w:t>
            </w:r>
            <w:r w:rsidRPr="00B161C6">
              <w:rPr>
                <w:rFonts w:ascii="宋体" w:eastAsia="宋体" w:hAnsi="宋体" w:cs="Calibri" w:hint="eastAsia"/>
                <w:color w:val="333333"/>
                <w:kern w:val="0"/>
                <w:sz w:val="20"/>
                <w:szCs w:val="20"/>
              </w:rPr>
              <w:t>［</w:t>
            </w:r>
            <w:r w:rsidRPr="00B161C6">
              <w:rPr>
                <w:rFonts w:ascii="Calibri" w:eastAsia="宋体" w:hAnsi="Calibri" w:cs="Calibri"/>
                <w:color w:val="333333"/>
                <w:kern w:val="0"/>
                <w:sz w:val="20"/>
                <w:szCs w:val="20"/>
              </w:rPr>
              <w:t>230</w:t>
            </w:r>
            <w:r w:rsidRPr="00B161C6">
              <w:rPr>
                <w:rFonts w:ascii="宋体" w:eastAsia="宋体" w:hAnsi="宋体" w:cs="Calibri" w:hint="eastAsia"/>
                <w:color w:val="333333"/>
                <w:kern w:val="0"/>
                <w:sz w:val="20"/>
                <w:szCs w:val="20"/>
              </w:rPr>
              <w:t>］</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2655</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50</w:t>
            </w:r>
            <w:r w:rsidRPr="00B161C6">
              <w:rPr>
                <w:rFonts w:ascii="MingLiU_HKSCS" w:eastAsia="MingLiU_HKSCS" w:hAnsi="MingLiU_HKSCS" w:cs="Calibri" w:hint="eastAsia"/>
                <w:color w:val="333333"/>
                <w:kern w:val="0"/>
                <w:sz w:val="20"/>
                <w:szCs w:val="20"/>
              </w:rPr>
              <w:t>.</w:t>
            </w:r>
            <w:r w:rsidRPr="00B161C6">
              <w:rPr>
                <w:rFonts w:ascii="Calibri" w:eastAsia="宋体" w:hAnsi="Calibri" w:cs="Calibri"/>
                <w:color w:val="333333"/>
                <w:kern w:val="0"/>
                <w:sz w:val="20"/>
                <w:szCs w:val="20"/>
              </w:rPr>
              <w:t>0</w:t>
            </w:r>
          </w:p>
        </w:tc>
        <w:tc>
          <w:tcPr>
            <w:tcW w:w="18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预期性</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预期性</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预期性</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预期性</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预期性</w:t>
            </w:r>
          </w:p>
        </w:tc>
      </w:tr>
      <w:tr w:rsidR="00B161C6" w:rsidRPr="00B161C6" w:rsidTr="002B5208">
        <w:trPr>
          <w:jc w:val="center"/>
        </w:trPr>
        <w:tc>
          <w:tcPr>
            <w:tcW w:w="38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继续教育</w:t>
            </w:r>
          </w:p>
          <w:p w:rsidR="00B161C6" w:rsidRPr="00B161C6" w:rsidRDefault="00B161C6" w:rsidP="002B5208">
            <w:pPr>
              <w:widowControl/>
              <w:spacing w:line="0" w:lineRule="atLeast"/>
              <w:ind w:firstLine="2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从业人员继续教育（万人次）</w:t>
            </w:r>
          </w:p>
        </w:tc>
        <w:tc>
          <w:tcPr>
            <w:tcW w:w="16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tc>
        <w:tc>
          <w:tcPr>
            <w:tcW w:w="16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35000</w:t>
            </w:r>
          </w:p>
        </w:tc>
        <w:tc>
          <w:tcPr>
            <w:tcW w:w="18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预期性</w:t>
            </w:r>
          </w:p>
        </w:tc>
      </w:tr>
      <w:tr w:rsidR="00B161C6" w:rsidRPr="00B161C6" w:rsidTr="002B5208">
        <w:trPr>
          <w:jc w:val="center"/>
        </w:trPr>
        <w:tc>
          <w:tcPr>
            <w:tcW w:w="38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人力资源开发</w:t>
            </w:r>
          </w:p>
          <w:p w:rsidR="00B161C6" w:rsidRPr="00B161C6" w:rsidRDefault="00B161C6" w:rsidP="002B5208">
            <w:pPr>
              <w:widowControl/>
              <w:spacing w:line="0" w:lineRule="atLeast"/>
              <w:ind w:firstLine="2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新增劳动力平均受教育年限（年）</w:t>
            </w:r>
          </w:p>
        </w:tc>
        <w:tc>
          <w:tcPr>
            <w:tcW w:w="16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13</w:t>
            </w:r>
            <w:r w:rsidRPr="00B161C6">
              <w:rPr>
                <w:rFonts w:ascii="MingLiU_HKSCS" w:eastAsia="MingLiU_HKSCS" w:hAnsi="MingLiU_HKSCS" w:cs="Calibri" w:hint="eastAsia"/>
                <w:color w:val="333333"/>
                <w:kern w:val="0"/>
                <w:sz w:val="20"/>
                <w:szCs w:val="20"/>
              </w:rPr>
              <w:t>.</w:t>
            </w:r>
            <w:r w:rsidRPr="00B161C6">
              <w:rPr>
                <w:rFonts w:ascii="Calibri" w:eastAsia="宋体" w:hAnsi="Calibri" w:cs="Calibri"/>
                <w:color w:val="333333"/>
                <w:kern w:val="0"/>
                <w:sz w:val="20"/>
                <w:szCs w:val="20"/>
              </w:rPr>
              <w:t>3</w:t>
            </w:r>
          </w:p>
        </w:tc>
        <w:tc>
          <w:tcPr>
            <w:tcW w:w="16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13</w:t>
            </w:r>
            <w:r w:rsidRPr="00B161C6">
              <w:rPr>
                <w:rFonts w:ascii="MingLiU_HKSCS" w:eastAsia="MingLiU_HKSCS" w:hAnsi="MingLiU_HKSCS" w:cs="Calibri" w:hint="eastAsia"/>
                <w:color w:val="333333"/>
                <w:kern w:val="0"/>
                <w:sz w:val="20"/>
                <w:szCs w:val="20"/>
              </w:rPr>
              <w:t>.</w:t>
            </w:r>
            <w:r w:rsidRPr="00B161C6">
              <w:rPr>
                <w:rFonts w:ascii="Calibri" w:eastAsia="宋体" w:hAnsi="Calibri" w:cs="Calibri"/>
                <w:color w:val="333333"/>
                <w:kern w:val="0"/>
                <w:sz w:val="20"/>
                <w:szCs w:val="20"/>
              </w:rPr>
              <w:t>5</w:t>
            </w:r>
          </w:p>
        </w:tc>
        <w:tc>
          <w:tcPr>
            <w:tcW w:w="18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Calibri" w:eastAsia="宋体" w:hAnsi="Calibri" w:cs="Calibri"/>
                <w:color w:val="333333"/>
                <w:kern w:val="0"/>
                <w:sz w:val="20"/>
                <w:szCs w:val="20"/>
              </w:rPr>
              <w:t> </w:t>
            </w:r>
          </w:p>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预期性</w:t>
            </w:r>
          </w:p>
        </w:tc>
      </w:tr>
    </w:tbl>
    <w:p w:rsidR="00B161C6" w:rsidRPr="00B161C6" w:rsidRDefault="00B161C6" w:rsidP="002B5208">
      <w:pPr>
        <w:widowControl/>
        <w:spacing w:line="0" w:lineRule="atLeast"/>
        <w:ind w:firstLine="482"/>
        <w:rPr>
          <w:rFonts w:ascii="宋体" w:eastAsia="宋体" w:hAnsi="宋体" w:cs="宋体"/>
          <w:color w:val="333333"/>
          <w:kern w:val="0"/>
          <w:sz w:val="24"/>
          <w:szCs w:val="24"/>
        </w:rPr>
      </w:pPr>
      <w:r w:rsidRPr="00B161C6">
        <w:rPr>
          <w:rFonts w:ascii="宋体" w:eastAsia="宋体" w:hAnsi="宋体" w:cs="宋体" w:hint="eastAsia"/>
          <w:color w:val="333333"/>
          <w:kern w:val="0"/>
          <w:sz w:val="20"/>
          <w:szCs w:val="20"/>
        </w:rPr>
        <w:t>注：1.高等教育在校生含普通本专科、成人本专科、全日制和非全日制研究生在校生。</w:t>
      </w:r>
      <w:r w:rsidRPr="00B161C6">
        <w:rPr>
          <w:rFonts w:ascii="宋体" w:eastAsia="宋体" w:hAnsi="宋体" w:cs="宋体" w:hint="eastAsia"/>
          <w:color w:val="333333"/>
          <w:kern w:val="0"/>
          <w:sz w:val="24"/>
          <w:szCs w:val="24"/>
        </w:rPr>
        <w:t xml:space="preserve"> </w:t>
      </w:r>
      <w:r w:rsidRPr="00B161C6">
        <w:rPr>
          <w:rFonts w:ascii="宋体" w:eastAsia="宋体" w:hAnsi="宋体" w:cs="宋体" w:hint="eastAsia"/>
          <w:color w:val="333333"/>
          <w:kern w:val="0"/>
          <w:sz w:val="24"/>
          <w:szCs w:val="24"/>
        </w:rPr>
        <w:br/>
        <w:t xml:space="preserve">　　</w:t>
      </w:r>
      <w:r w:rsidRPr="00B161C6">
        <w:rPr>
          <w:rFonts w:ascii="宋体" w:eastAsia="宋体" w:hAnsi="宋体" w:cs="宋体" w:hint="eastAsia"/>
          <w:color w:val="333333"/>
          <w:kern w:val="0"/>
          <w:sz w:val="20"/>
          <w:szCs w:val="20"/>
        </w:rPr>
        <w:t xml:space="preserve">　　2.［　］内为全日制研究生在校生数。</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lastRenderedPageBreak/>
        <w:t>（五）主题主线。</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贯彻落实新发展理念，全面实现“十三五”时期教育改革发展目标，必须紧紧围绕全面提高教育质量这个主题，把立德树人作为根本任务，全面实施素质教育，积极培育和践行社会主义核心价值观，更新育人理念，创新育人方式，改善育人生态，提高教师素质，建立健全各级各类教育质量保障体系，全面提升育人水平。</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必须把教育的结构性改革作为主线，主动适应经济社会发展和人民群众的需求。统筹利用好、布局好各类教育资源，突出保基本、补短板、促公平，公共教育资源配置向薄弱地区、薄弱学校、薄弱环节和困难人群倾斜，推动区域、城乡协调发展，着力提高基本公共教育服务的覆盖面和质量水平；优化人才供给结构，加快高中阶段教育普及进程，推动高等教育分类发展，大力发展现代职业教育和继续教育，加快培养经济社会发展急需人才；创新教育供给方式，大力发展民办教育，拓展教育新形态，以教育信息化推动教育现代化，积极促进信息技术与教育的融合创新发展，努力构建网络化、数字化、个性化、终身化的教育体系，形成人人皆学、处处能学、时时可学的学习环境；改革教育治理体系，深化简政放权、放管结合、优化服务改革，落实学校办学自主权，加快现代学校制度建设；扩大社会参与，提高教育开放水平，整体提升教育服务经济社会发展的能力。</w:t>
      </w:r>
    </w:p>
    <w:p w:rsidR="00B161C6" w:rsidRPr="002B5208" w:rsidRDefault="00B161C6" w:rsidP="002B5208">
      <w:pPr>
        <w:widowControl/>
        <w:spacing w:line="520" w:lineRule="exact"/>
        <w:ind w:firstLineChars="200" w:firstLine="643"/>
        <w:rPr>
          <w:rFonts w:ascii="仿宋_GB2312" w:eastAsia="仿宋_GB2312" w:hAnsi="宋体" w:cs="宋体" w:hint="eastAsia"/>
          <w:color w:val="333333"/>
          <w:kern w:val="0"/>
          <w:sz w:val="32"/>
          <w:szCs w:val="32"/>
        </w:rPr>
      </w:pPr>
      <w:r w:rsidRPr="002B5208">
        <w:rPr>
          <w:rFonts w:ascii="仿宋_GB2312" w:eastAsia="仿宋_GB2312" w:hAnsi="宋体" w:cs="宋体" w:hint="eastAsia"/>
          <w:b/>
          <w:bCs/>
          <w:color w:val="333333"/>
          <w:kern w:val="0"/>
          <w:sz w:val="32"/>
          <w:szCs w:val="32"/>
        </w:rPr>
        <w:t>二、全面落实立德树人根本任务</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（一）提升学生思想道德水平。</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把思想政治工作贯穿教育教学全过程。加强系统谋划和顶层设计，以社会主义核心价值观为引领，科学制定不同年</w:t>
      </w:r>
      <w:r w:rsidRPr="002B5208">
        <w:rPr>
          <w:rFonts w:ascii="仿宋_GB2312" w:eastAsia="仿宋_GB2312" w:hAnsi="宋体" w:cs="宋体" w:hint="eastAsia"/>
          <w:color w:val="333333"/>
          <w:kern w:val="0"/>
          <w:sz w:val="32"/>
          <w:szCs w:val="32"/>
        </w:rPr>
        <w:lastRenderedPageBreak/>
        <w:t>龄阶段和各级各类教育的德育工作目标，实现全员育人、全过程育人、全方位育人。充分发挥品德课、思想政治理论课主渠道作用，深入挖掘课程教材的育人作用，系统推进课程改革和教材修订，推动中国特色社会主义理论体系进教材、进课堂、进头脑，使大中小学德育和思想政治教育由浅入深、分层递进、有机衔接。积极开展少先队和党团组织教育活动。广泛运用情境教学、现场教学、社会实践等方式，关注学生情感体验过程，引导和组织学生通过各种社会实践活动践行社会主义核心价值观，开展自我教育。加强网络环境下的德育工作，强化网络阵地建设，采取多种方式引导学生全面理解、正确对待重大理论和社会热点问题，增强是非辨别能力。充分发挥教师对学生的言传身教、行为引导作用，邀请党政领导干部到学校作形势报告，广泛聘请各行各业先进典型、优秀家长和老干部、老战士、老专家、老教师、老模范等到学校作专题报告，担任思想政治教育兼职教师，强化示范引领效应，使社会主义核心价值观内化于心、外化于行。</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着力加强爱国主义教育。坚持爱国和爱党、爱社会主义相统一，创新形式，丰富载体，把爱国主义教育有机融入教育教学各环节，贯穿国民教育全过程。加强爱国主义教育基地建设，开辟爱国主义教育校外课堂，推动各级各类学校积极创造条件，开设以爱国主义为主题内容的选修课和专题讲座，发挥主题党日、团日、班会等载体作用，结合重要纪念日和传统节日开展爱国主义教育，加强国情教育、历史教育特别是党史、国史、改革开放史、社会主义发展史教育，大力推进对国旗、国歌、国徽的礼仪教育。广泛开展民族团结进步教育，强化“五个认同”和“三个离不开”思想，促进</w:t>
      </w:r>
      <w:r w:rsidRPr="002B5208">
        <w:rPr>
          <w:rFonts w:ascii="仿宋_GB2312" w:eastAsia="仿宋_GB2312" w:hAnsi="宋体" w:cs="宋体" w:hint="eastAsia"/>
          <w:color w:val="333333"/>
          <w:kern w:val="0"/>
          <w:sz w:val="32"/>
          <w:szCs w:val="32"/>
        </w:rPr>
        <w:lastRenderedPageBreak/>
        <w:t>各族学生交往交流交融，筑牢各族师生中华民族共同体思想基础，引导青少年学生树立和坚持正确的国家观、民族观、宗教观、历史观、文化观，增强中华民族归属感、认同感、尊严感、荣誉感。</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努力增强学生社会责任感。协同加强青少年社会公德、职业道德、家庭美德教育，努力培养学生高尚品格和担当精神。引导学生以国家富强、人民幸福为己任，树立自觉投身于中国特色社会主义伟大实践的宏伟志向。</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积极开展法治教育。落实《青少年法治教育大纲》，把法治教育纳入国民教育体系，在中小学设立法治知识课程。加强法治教育实践基地建设，加强宪法教育，多种形式普及法律知识，开展法治实践教育，培养学生的法治意识和素养。</w:t>
      </w:r>
    </w:p>
    <w:tbl>
      <w:tblPr>
        <w:tblW w:w="907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072"/>
      </w:tblGrid>
      <w:tr w:rsidR="00B161C6" w:rsidRPr="00B161C6" w:rsidTr="002B5208">
        <w:trPr>
          <w:trHeight w:val="409"/>
          <w:jc w:val="center"/>
        </w:trPr>
        <w:tc>
          <w:tcPr>
            <w:tcW w:w="90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b/>
                <w:bCs/>
                <w:color w:val="333333"/>
                <w:kern w:val="0"/>
                <w:sz w:val="20"/>
                <w:szCs w:val="20"/>
              </w:rPr>
              <w:t>专栏</w:t>
            </w:r>
            <w:r w:rsidRPr="00B161C6">
              <w:rPr>
                <w:rFonts w:ascii="Calibri" w:eastAsia="宋体" w:hAnsi="Calibri" w:cs="Calibri"/>
                <w:b/>
                <w:bCs/>
                <w:color w:val="333333"/>
                <w:kern w:val="0"/>
                <w:sz w:val="20"/>
                <w:szCs w:val="20"/>
              </w:rPr>
              <w:t>3</w:t>
            </w:r>
            <w:r w:rsidRPr="00B161C6">
              <w:rPr>
                <w:rFonts w:ascii="宋体" w:eastAsia="宋体" w:hAnsi="宋体" w:cs="Calibri" w:hint="eastAsia"/>
                <w:b/>
                <w:bCs/>
                <w:color w:val="333333"/>
                <w:kern w:val="0"/>
                <w:sz w:val="20"/>
                <w:szCs w:val="20"/>
              </w:rPr>
              <w:t xml:space="preserve">　落实立德树人根本任务</w:t>
            </w:r>
          </w:p>
        </w:tc>
      </w:tr>
      <w:tr w:rsidR="00B161C6" w:rsidRPr="00B161C6" w:rsidTr="002B5208">
        <w:trPr>
          <w:trHeight w:val="1962"/>
          <w:jc w:val="center"/>
        </w:trPr>
        <w:tc>
          <w:tcPr>
            <w:tcW w:w="907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ind w:firstLine="4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全面构建“全员育人、全过程育人、全方位育人”体系。深化课程教学改革。加强学校实践教育条件和校外实习实践基地建设。建立健全国家机关、企事业单位和社会团体接收大学生实习实训制度。完善课程、教材、教学方式和评价方法。开发多媒体课程、电子书和动画等德育资源，通过校园网站和互联网平台广为传播。提升青少年身心健康水平和学校美育工作水平。开展文明校园创建活动，实施学生志愿服务行动。加强马克思主义理论学科建设，推动马克思主义理论研究和建设工程重点教材编审和使用，实施马克思主义理论人才重点支持培养计划和青年马克思主义者培养工程。实施高校思想政治理论课建设体系创新计划。实施大学生思想政治教育质量提升工程。</w:t>
            </w:r>
          </w:p>
        </w:tc>
      </w:tr>
    </w:tbl>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（二）培养学生创新创业精神与能力。</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从中小学做起，注重激发学生学习兴趣、科学兴趣和创新意识，加强科学方法的训练，逐步培养学生逻辑思维与辩证思维的能力。研究制定中小学生科学素质标准，充分利用各类社会科技教育资源，大力开展校内外结合的科技教育活动，加强对学生科学素质、信息素养和创新能力的培养。鼓励高等学校和职业学校建设学生创新创业服务平台，完善创新创业教育课程体系和管理制度，引导鼓励学生积极参与创新活动和创业实践，强化毕业论文、毕业设计的创新创业导向，开展创新创业竞赛，营造创新创业校园文化。支持本科</w:t>
      </w:r>
      <w:r w:rsidRPr="002B5208">
        <w:rPr>
          <w:rFonts w:ascii="仿宋_GB2312" w:eastAsia="仿宋_GB2312" w:hAnsi="宋体" w:cs="宋体" w:hint="eastAsia"/>
          <w:color w:val="333333"/>
          <w:kern w:val="0"/>
          <w:sz w:val="32"/>
          <w:szCs w:val="32"/>
        </w:rPr>
        <w:lastRenderedPageBreak/>
        <w:t>生和研究生提前进入企业开展创新活动，鼓励高校通过无偿许可的方式向学生授权使用科技成果，引导学生创新创业。鼓励各省级政府统筹区域内高校、企业、产业园区、孵化基地、风险投资基金等资源，扶持大学生创业。</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（三）强化学生实践动手能力。</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践行知行合一，将实践教学作为深化教学改革的关键环节，丰富实践育人有效载体，广泛开展社会调查、生产劳动、志愿服务、公益活动、科技发明和勤工助学等社会实践活动，深化学生对书本知识的认识。加强劳动教育，充分发挥劳动综合育人功能。制定中小学生综合实践活动指导纲要，注重增强学生实践体验，鼓励有条件的地区开展中小学生研学旅行和各种形式的夏令营、冬令营活动。建设一批具有良好示范带动作用的研学旅游基地和目的地。构建学生志愿服务工作体系，把志愿服务纳入社会实践活动课程，组织学生开展志愿服务活动和其他社会实践主题活动，建立学生志愿服务记录档案，把志愿服务纳入学生综合素质评价内容。支持高校广泛开展大学生实践活动，引导大学生走出校门、深入基层，广泛宣传党的方针政策和中国特色社会主义理论，促进学生了解社会、认识国情、增长才干。</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（四）塑造学生强健体魄。</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加强和改进学校体育卫生工作。以全面增强学生体质和意志品质为目标，全面加强学校体育工作。将体质改善情况作为教育质量监测和教育评价的重要内容，开展健康学校创建工作，完善青少年体质健康监测体系，健全大中小学生健康体检制度。加强中小学校体育装备，改革体育教学、训练和竞赛体系，因地制宜强化体育课和课外锻炼，大力扶持校</w:t>
      </w:r>
      <w:r w:rsidRPr="002B5208">
        <w:rPr>
          <w:rFonts w:ascii="仿宋_GB2312" w:eastAsia="仿宋_GB2312" w:hAnsi="宋体" w:cs="宋体" w:hint="eastAsia"/>
          <w:color w:val="333333"/>
          <w:kern w:val="0"/>
          <w:sz w:val="32"/>
          <w:szCs w:val="32"/>
        </w:rPr>
        <w:lastRenderedPageBreak/>
        <w:t>园足球、冰雪运动等各类体育社团发展，推动体育传统项目学校、体育特色学校建设，广泛开展各级学校体育联赛和民间传统体育比赛，着力推动高校加强大学生体育锻炼，广泛开展课外体育锻炼活动，大力培养学生运动兴趣、运动技能、运动习惯，基本实现学生熟练掌握一项以上运动技能的目标。全面加强幼儿园、中小学的卫生与健康工作，加大健康知识宣传力度，提高学生主动防病意识。推动各地采取针对性措施，降低学生近视发生率。注重各级各类学校心理教师队伍建设，进一步完善学生心理健康服务体系，在学校普遍开展心理健康教育，提高学生心理健康意识和心理保健能力，培养身心健康、体魄强健、意志坚强的一代新人。</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（五）提高学生文化修养。</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坚持以美育人、以文化人。以提高学生艺术素养、陶冶高尚情操、培育深厚民族情感、激发创新意识为导向，构建科学的美育课程体系，改进学校美育教学，鼓励特色发展，统筹整合学校与社会美育资源，健全美育评价机制，推动开齐开足艺术课程，开展艺术类第二课堂教育活动，将艺术实践活动纳入课程管理，促进每个学生形成一两项艺术特长和爱好。积极引导学生阅读欣赏中外文学艺术经典，鼓励高雅艺术进校园、非物质文化遗产进校园、民族民间优秀文化进校园。开展校训、家训育人活动。充分利用图书馆、博物馆、文化馆等各类文化资源，广泛开展中华民族优秀传统文化、革命文化、社会主义先进文化教育，培育青少年学生文化认同和文化自信。加强多元文化教育和国际理解教育，提升跨文化沟通能力。</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（六）增强学生生态文明素养。</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lastRenderedPageBreak/>
        <w:t>强化生态文明教育，将生态文明理念融入教育全过程，鼓励学校开发生态文明相关课程，加强资源环境方面的国情与世情教育，普及生态文明法律法规和科学知识。广泛开展可持续发展教育，深化节水、节电、节粮教育，引导学生厉行节约、反对浪费，树立尊重自然、顺应自然和保护自然的生态文明意识，形成可持续发展理念、知识和能力，践行勤俭节约、绿色低碳、文明健康的生活方式，引领社会绿色风尚。</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（七）提高学生综合国防素质。</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将国防教育纳入国民教育体系，充分发挥国防教育的综合育人功能，丰富学校国家安全教育和国防教育内容，创新教育形式，探索开展中小学国防教育综合社会实践和示范校创建活动试点，继续推动国防教育特色学校建设，充分发挥军营开放日、军事夏令营等平台作用，提高国防教育效果。加强高等学校军事理论教学，加强高等学校和高中阶段学校学生军事技能训练，拓展学生军训综合育人功能，提升青少年国防意识和军事素养。</w:t>
      </w:r>
    </w:p>
    <w:p w:rsidR="00B161C6" w:rsidRPr="002B5208" w:rsidRDefault="00B161C6" w:rsidP="002B5208">
      <w:pPr>
        <w:widowControl/>
        <w:spacing w:line="520" w:lineRule="exact"/>
        <w:ind w:firstLineChars="200" w:firstLine="643"/>
        <w:rPr>
          <w:rFonts w:ascii="仿宋_GB2312" w:eastAsia="仿宋_GB2312" w:hAnsi="宋体" w:cs="宋体" w:hint="eastAsia"/>
          <w:color w:val="333333"/>
          <w:kern w:val="0"/>
          <w:sz w:val="32"/>
          <w:szCs w:val="32"/>
        </w:rPr>
      </w:pPr>
      <w:r w:rsidRPr="002B5208">
        <w:rPr>
          <w:rFonts w:ascii="仿宋_GB2312" w:eastAsia="仿宋_GB2312" w:hAnsi="宋体" w:cs="宋体" w:hint="eastAsia"/>
          <w:b/>
          <w:bCs/>
          <w:color w:val="333333"/>
          <w:kern w:val="0"/>
          <w:sz w:val="32"/>
          <w:szCs w:val="32"/>
        </w:rPr>
        <w:t>三、改革创新驱动教育发展</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（一）着力推进教育教学改革。</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推进基础教育课程与教学改革。加强对课程教材建设的顶层设计，修订国家基础教育课程方案和课程标准，体现学生发展核心素养要求，完善教材审查审定和使用监测制度，打造具有科学性、时代性、民族性的基础教育课程教材体系。全面开展课程实施监测和管理。支持有条件的地方推行小班化教学，鼓励普通高中实行“选课制”、“走班制”，开设多样优质的选修课程。推动合作探究式学习，倡导任务驱动</w:t>
      </w:r>
      <w:r w:rsidRPr="002B5208">
        <w:rPr>
          <w:rFonts w:ascii="仿宋_GB2312" w:eastAsia="仿宋_GB2312" w:hAnsi="宋体" w:cs="宋体" w:hint="eastAsia"/>
          <w:color w:val="333333"/>
          <w:kern w:val="0"/>
          <w:sz w:val="32"/>
          <w:szCs w:val="32"/>
        </w:rPr>
        <w:lastRenderedPageBreak/>
        <w:t>学习，提高学生分析解决问题的能力。支持有条件的普通高中与高等学校、科研院所开展有效合作，推进创新人才培养。继续推进中学生科技创新后备人才培养计划、全国青少年高校科学营等活动，积极试点探索大学先修课程。落实《幼儿园教育指导纲要》、《3—6岁儿童学习与发展指南》，坚持以游戏为基本活动，培养幼儿健康体魄、良好生活与行为习惯，促进幼儿身心和谐发展。</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推行产教融合的职业教育模式。坚持面向市场、服务发展、促进就业的办学方向，科学确定各层次各类型职业教育培养目标，创新技术技能人才培养模式。推行校企一体化育人，推进“订单式”培养、工学交替培养，积极推动校企联合招生、联合培养的现代学徒制。率先在大中型企业开展产教融合试点，推动行业企业与学校共建人才培养基地、技术创新基地、科技服务基地。鼓励学校、行业、企业、科研机构、社会组织等组建职业教育集团，实现教育链和产业链有机融合。建立健全对接产业发展中高端水平的职业教育教学标准体系。以增强学生核心素养、技术技能水平和可持续发展能力为重点，统筹规划课程与教材建设，对接最新行业、职业标准和岗位规范，优化专业课程结构，更新教学内容。强化课堂教学、实习、实训的融合，普及推广项目教学、案例教学、情境教学等教学模式。完善职业学校教学工作诊断与改进制度。引导行业企业深度参与专业教学、顶岗实习、岗位资格认证等方面的标准制定和教学评价。积极推行“双证书”制度，统筹相关课程考试考核与职业技能鉴定。支持在符合条件的职业学校设立职业技能鉴定所（站），完善职业学校合格毕业生取得相应职业资格证书的办法。规范职业</w:t>
      </w:r>
      <w:r w:rsidRPr="002B5208">
        <w:rPr>
          <w:rFonts w:ascii="仿宋_GB2312" w:eastAsia="仿宋_GB2312" w:hAnsi="宋体" w:cs="宋体" w:hint="eastAsia"/>
          <w:color w:val="333333"/>
          <w:kern w:val="0"/>
          <w:sz w:val="32"/>
          <w:szCs w:val="32"/>
        </w:rPr>
        <w:lastRenderedPageBreak/>
        <w:t>学校办学行为，严格落实专业教学标准，防止以升学为目标组织教学。</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深化本科教育教学改革。实行产学研用协同育人，探索通识教育和专业教育相结合的人才培养方式，推行模块化通识教育，促进文理交融。继续推进基础学科拔尖学生培养试验计划。推动高校针对不同层次、不同类型人才培养的特点，改进专业培养方案，构建科学的课程体系和学习支持体系。建立支持和奖励机制，激励教师面向经济社会新需求，强化课程研发、教材编写、教学成果推广，及时将最新科研成果、企业先进技术等转化为教学内容。探索建立适应弹性学习、学分制和主辅修制的教学管理制度，逐步扩大学生自主选择专业、课程和教师的权利。推行以学生为中心的启发式、合作式、参与式和研讨式学习方式，加强个性化培养。改进教学评价机制和学生考核机制。全面落实教授给本科生上课制度，建立约束激励机制，调动教师投入本科教学、不断探索教学新技术新方法新形态的积极性。推动高校统筹使用相关经费，加大对课程建设、教学改革的常态化投入，强化实验、实训、实习环节，建立高校与企业、行业、科研机构、社区等合作育人机制，全面提升高等学校教学水平。</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推动研究生培养机制改革。扩大高校学术团队招收研究生的自主权，适度提高应届优秀本科毕业生直接攻读博士学位的比例，加强重大基础研究、重大科研攻关方向、重大工程领域、重大社会问题研究的博士研究生培养，紧密结合承担国家和区域重大科研任务，强化博士生原始创新能力，加快培养科技创新前沿的领军人才。支持在职人员以非全日制方式攻读专业硕士学位，鼓励跨学科攻读专业硕士学位。加</w:t>
      </w:r>
      <w:r w:rsidRPr="002B5208">
        <w:rPr>
          <w:rFonts w:ascii="仿宋_GB2312" w:eastAsia="仿宋_GB2312" w:hAnsi="宋体" w:cs="宋体" w:hint="eastAsia"/>
          <w:color w:val="333333"/>
          <w:kern w:val="0"/>
          <w:sz w:val="32"/>
          <w:szCs w:val="32"/>
        </w:rPr>
        <w:lastRenderedPageBreak/>
        <w:t>强联合培养基地建设，探索专业学位研究生开放式培养模式，推行“双导师”等行业企业联合培养机制，结合承担行业企业实际科研生产项目，加快培养能够解决一线实际问题、宽口径的高层次复合型人才。健全以科学与工程技术研究为主导的导师责任制和导师项目资助制。推动高校加强研究生课程建设，强化研究生课程的系统性和前沿性，加强不同培养阶段课程的衔接，提升研究生课程教学质量。</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（二）深化考试招生制度改革。</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加大高校考试招生制度改革实施力度。积极创造条件，稳妥推进普通高校考试招生制度综合改革试点，逐步在全国推广实施高考综合改革方案，探索基于统一高考和高中学业水平考试成绩、参考综合素质评价的多元录取机制。完善高中学业水平考试，覆盖国家规定的所有学习科目，加强命题和考试的组织保障，确保考试安全有序、成绩真实可信。规范高中学生综合素质评价，确保学生综合素质档案真实可靠。深化考试内容改革，着重考查学生独立思考和运用所学知识分析问题、解决问题的能力。大幅减少并严格控制考试加分项目，规范并公开自主招生办法、考核程序和录取结果。创造条件淡化并逐步取消录取批次，推进并完善平行志愿投档方式。探索研究生多元化招生选拔机制。确保国家教育考试安全。深入实施高校招生阳光工程，健全分级负责、规范有效的信息公开制度。加强考试招生全程监督，加大查处违规行为力度。</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推进高职院校分类考试，突出“文化素质+职业技能”评价方式。高等职业学校招收有工作经验的学生，应当将工作实绩和能力作为重要的录取依据。健全学前教育、护理等</w:t>
      </w:r>
      <w:r w:rsidRPr="002B5208">
        <w:rPr>
          <w:rFonts w:ascii="仿宋_GB2312" w:eastAsia="仿宋_GB2312" w:hAnsi="宋体" w:cs="宋体" w:hint="eastAsia"/>
          <w:color w:val="333333"/>
          <w:kern w:val="0"/>
          <w:sz w:val="32"/>
          <w:szCs w:val="32"/>
        </w:rPr>
        <w:lastRenderedPageBreak/>
        <w:t>领域和专业实行初中毕业起点、中高职贯通培养的考试招生办法。健全技术技能人才系统培养的招生制度。</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完善中小学入学制度。合理设置学校或学区，保障入学需求，完善义务教育免试就近入学制度。改进高中阶段学校考试招生方式，逐步建立基于初中学业水平考试成绩、结合综合素质评价的普通高中招生录取机制，合理分配优质普通高中招生名额。进一步完善进城务工人员随迁子女就学和在流入地升学考试的政策措施。</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（三）激发学校办学活力。</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加快现代大学制度和各类学校管理制度建设。全面落实“一校一章程”。加强对新设立学校和升格、更名、合并、分立的高等学校的章程核准工作，建立和完善各级各类学校依章办学的管理制度和监督办法，推动学校依法依章治校。完善公办高等学校党委领导下的校长负责制和中小学、中等职业学校校长负责制，进一步明确职责分工、议事规则。深化学校管理人员职员制改革，建立符合学校特点的管理制度，鼓励高校推进内设机构取消行政级别试点，克服行政化倾向。拓展师生参与学校民主治理的渠道和途径，学校重大决策和涉及师生利益的重大政策应当经教职工代表大会民主讨论，发挥学生代表大会的桥梁纽带作用。加强中小学家长委员会建设，完善高等学校、职业学校理事会制度。切实实行学术民主，保障高等学校学术委员会、职业学校专家委员会履行职责。</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落实学校办学自主权。建立健全各部门统筹推进落实学校办学自主权的会商机制。统筹推进高校综合改革，改革学位授权审核机制，落实高校学科专业设置自主权；改革高校</w:t>
      </w:r>
      <w:r w:rsidRPr="002B5208">
        <w:rPr>
          <w:rFonts w:ascii="仿宋_GB2312" w:eastAsia="仿宋_GB2312" w:hAnsi="宋体" w:cs="宋体" w:hint="eastAsia"/>
          <w:color w:val="333333"/>
          <w:kern w:val="0"/>
          <w:sz w:val="32"/>
          <w:szCs w:val="32"/>
        </w:rPr>
        <w:lastRenderedPageBreak/>
        <w:t>编制及岗位管理制度，积极探索实行高校人员总量管理，落实高校岗位管理自主权；自主制定招聘条件和标准，自主公开招聘人才，根据岗位设置方案和管理办法自主做好人员聘后管理，落实高校用人自主权；下放教师职称评审权，改进教师职称评审方法，落实高校教师职称评审自主权；健全符合现代大学特点的薪酬分配制度，扩大高校薪酬分配自主权；精简对高校经费使用的考核评估，扩大项目资金统筹使用权，落实高校经费使用管理自主权；简化高校建设项目审批程序，扩大基本建设项目自主权；改进高校政府采购管理，优化进口仪器采购服务，落实高校科研仪器设备采购自主权；根据学术交流、教育教学和参与国际合作的需要，改进相关管理制度，为高校教师因公出国、参会提供便利。推动高等学校进一步向院系放权。扩大职业学校在招生、专业设置和调整、教师评聘、资源配置、收入分配、校企合作等方面的办学自主权。进一步落实和扩大中小学在教学工作、资源配置、人事管理等方面的自主权。</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（四）统筹推进世界一流大学和一流学科建设。</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以中国特色、世界一流为核心，以支撑创新驱动发展战略、服务经济社会发展为导向，坚持建设与改革并重，以学科为基础、以绩效为杠杆，统筹高校整体建设和学科建设，鼓励和支持不同类型的高水平大学和学科差别化发展，支持拥有多个国内领先、国际前沿高水平学科的大学，全面建设进入世界一流大学行列或前列；支持拥有若干国内前列、在国际同类院校中居于优势地位的高水平学科的大学，通过学科建设带动学校进入世界同类大学前列；支持拥有某一高水平学科的大学，通过建设进入该学科的世界一流行列或前列。</w:t>
      </w:r>
      <w:r w:rsidRPr="002B5208">
        <w:rPr>
          <w:rFonts w:ascii="仿宋_GB2312" w:eastAsia="仿宋_GB2312" w:hAnsi="宋体" w:cs="宋体" w:hint="eastAsia"/>
          <w:color w:val="333333"/>
          <w:kern w:val="0"/>
          <w:sz w:val="32"/>
          <w:szCs w:val="32"/>
        </w:rPr>
        <w:lastRenderedPageBreak/>
        <w:t>支持省级政府根据国家建设布局，结合经济社会发展需求和基础条件，自主推动区域内高等学校建设高水平大学和优势学科，积极探索不同类型、不同层次高等学校的一流建设之路。</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创新建设机制，鼓励公平竞争，强化目标管理，增强建设实效。创新支持方式，综合考虑建设高校基础、学科类别及发展水平等，通过不同途径给予相应经费支持，动员各方力量积极参与一流大学和一流学科建设，增强高等学校财务自主权和统筹安排经费的能力。坚持公开透明，实施动态监测，制定科学合理的绩效评价办法，开展中期评价和第三方评估，强化社会监督。建立退出机制，打破身份固化，形成激励约束机制，激发高校的建设活力。改革完善高等学校创新能力提升计划（“2011计划”）组织实施方式，推动高校面向国家重大需求多学科交叉融合、校所企协同创新。</w:t>
      </w:r>
    </w:p>
    <w:tbl>
      <w:tblPr>
        <w:tblW w:w="907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072"/>
      </w:tblGrid>
      <w:tr w:rsidR="00B161C6" w:rsidRPr="00B161C6" w:rsidTr="002B5208">
        <w:trPr>
          <w:trHeight w:val="558"/>
          <w:jc w:val="center"/>
        </w:trPr>
        <w:tc>
          <w:tcPr>
            <w:tcW w:w="90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b/>
                <w:bCs/>
                <w:color w:val="333333"/>
                <w:kern w:val="0"/>
                <w:sz w:val="20"/>
                <w:szCs w:val="20"/>
              </w:rPr>
              <w:t>专栏</w:t>
            </w:r>
            <w:r w:rsidRPr="00B161C6">
              <w:rPr>
                <w:rFonts w:ascii="Calibri" w:eastAsia="宋体" w:hAnsi="Calibri" w:cs="Calibri"/>
                <w:b/>
                <w:bCs/>
                <w:color w:val="333333"/>
                <w:kern w:val="0"/>
                <w:sz w:val="20"/>
                <w:szCs w:val="20"/>
              </w:rPr>
              <w:t>4</w:t>
            </w:r>
            <w:r w:rsidRPr="00B161C6">
              <w:rPr>
                <w:rFonts w:ascii="宋体" w:eastAsia="宋体" w:hAnsi="宋体" w:cs="Calibri" w:hint="eastAsia"/>
                <w:b/>
                <w:bCs/>
                <w:color w:val="333333"/>
                <w:kern w:val="0"/>
                <w:sz w:val="20"/>
                <w:szCs w:val="20"/>
              </w:rPr>
              <w:t xml:space="preserve">　世界一流大学和一流学科建设</w:t>
            </w:r>
          </w:p>
        </w:tc>
      </w:tr>
      <w:tr w:rsidR="00B161C6" w:rsidRPr="00B161C6" w:rsidTr="002B5208">
        <w:trPr>
          <w:trHeight w:val="3040"/>
          <w:jc w:val="center"/>
        </w:trPr>
        <w:tc>
          <w:tcPr>
            <w:tcW w:w="907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61C6" w:rsidRPr="00B161C6" w:rsidRDefault="00B161C6" w:rsidP="002B5208">
            <w:pPr>
              <w:widowControl/>
              <w:spacing w:line="0" w:lineRule="atLeast"/>
              <w:ind w:firstLine="4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加强总体规划，引导分类发展，科学合理布局，坚持扶优扶新、扶需扶特，支持处于国内领先地位、在国际上具有较强竞争力、对经济社会发展具有重大作用、具备进入世界一流行列或前列基础和实力的大学，支持建设</w:t>
            </w:r>
            <w:r w:rsidRPr="00B161C6">
              <w:rPr>
                <w:rFonts w:ascii="Calibri" w:eastAsia="宋体" w:hAnsi="Calibri" w:cs="Calibri"/>
                <w:color w:val="333333"/>
                <w:kern w:val="0"/>
                <w:sz w:val="20"/>
                <w:szCs w:val="20"/>
              </w:rPr>
              <w:t>100</w:t>
            </w:r>
            <w:r w:rsidRPr="00B161C6">
              <w:rPr>
                <w:rFonts w:ascii="宋体" w:eastAsia="宋体" w:hAnsi="宋体" w:cs="Calibri" w:hint="eastAsia"/>
                <w:color w:val="333333"/>
                <w:kern w:val="0"/>
                <w:sz w:val="20"/>
                <w:szCs w:val="20"/>
              </w:rPr>
              <w:t>个左右学科，重点支持一批接近或达到世界先进水平的学科，加强建设关系国家安全和重大利益的学科，重点布局一批国家急需、支撑产业转型升级和区域发展的学科，积极发展一批新兴学科、交叉学科，覆盖哲学社会科学、自然科学、工程技术等重点领域，努力形成支撑国家长远发展的建设体系，大力提升国家自主创新能力和核心竞争力。每五年一个建设周期，建设高校及学科实行开放竞争、动态调整。</w:t>
            </w:r>
          </w:p>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 xml:space="preserve">　　提升高等学校创新能力。围绕国家发展重大需求，按照“国家急需、世界一流、制度先进、贡献突出”的总体要求，创新体制机制，深化高校与高校、科研院所、行业企业和国外科研机构的合作，汇聚创新资源和要素，构建协同创新的新模式，全面提升高等学校的人才、学科、科研三位一体创新能力，抢占世界科技创新制高点。</w:t>
            </w:r>
          </w:p>
        </w:tc>
      </w:tr>
    </w:tbl>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（五）强化高校创新体系建设。</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全面提升高校科技创新能力。推动高等学校全面参与国家创新体系建设，在优化布局、分类整合的基础上，统筹研究建设国家级科研基地，组织和支持高校积极参加国家科技计划（专项、基金等）和国家级科技创新基地建设，承接国</w:t>
      </w:r>
      <w:r w:rsidRPr="002B5208">
        <w:rPr>
          <w:rFonts w:ascii="仿宋_GB2312" w:eastAsia="仿宋_GB2312" w:hAnsi="宋体" w:cs="宋体" w:hint="eastAsia"/>
          <w:color w:val="333333"/>
          <w:kern w:val="0"/>
          <w:sz w:val="32"/>
          <w:szCs w:val="32"/>
        </w:rPr>
        <w:lastRenderedPageBreak/>
        <w:t>家重大科研项目。优化高校基础研究环境，充分发挥学科、人才优势，凝练主攻方向，聚焦重大科学问题和战略技术问题开展基础技术、前沿技术、非对称技术、“杀手锏”技术、颠覆性技术研究，以基础性的突破带动全局性的创新。支持高校根据国家对外科技合作总体部署，提出并牵头组织、深度参与国际大科学计划和大科学工程。支持高校图书馆建设知识产权信息服务中心，为促进高校创新提供服务。</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深化高校科研体制改革。完善中央高校基本科研业务费制度，形成经费长效支持机制，鼓励有条件的地区设立地方高校基本科研业务费，支持研究型大学开展自由探索的基础研究。落实高校科研项目预算调整、间接费用统筹使用、劳务费分配管理、结转结余资金按规定使用等自主权。探索实行充分体现人才创新价值和特点的经费使用管理办法，进一步发挥科研项目资金的引导激励作用，明确劳务费开支范围和标准，提高间接费用比重，加大绩效激励力度。推动高校切实履行法人责任，健全科研经费内部管理办法。多种形式加强高校科研队伍建设，建立健全教师在岗兼职、离岗创业等制度。设置特定的创新科研岗位，聘用海外学者、国内同行和研究生，组织科学创新团队。改革科研评价制度，建立以创新质量、贡献、绩效为导向的分类评价体系。完善同行专家遴选机制和专家库，加强评价专家的自律和责任追究。</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深化全方位协同创新。支持高校探索建立基于互联网的科研组织模式，开展跨学校、跨学科、跨领域、跨国界的协同创新。健全产学研协同创新机制，支持高校与行业企业、科研院所联合建设创新中心和创新平台，组建产业技术创新战略联盟，面向社会和企业开放科研基础设施和创新资源，</w:t>
      </w:r>
      <w:r w:rsidRPr="002B5208">
        <w:rPr>
          <w:rFonts w:ascii="仿宋_GB2312" w:eastAsia="仿宋_GB2312" w:hAnsi="宋体" w:cs="宋体" w:hint="eastAsia"/>
          <w:color w:val="333333"/>
          <w:kern w:val="0"/>
          <w:sz w:val="32"/>
          <w:szCs w:val="32"/>
        </w:rPr>
        <w:lastRenderedPageBreak/>
        <w:t>开展产业关键共性技术以及核心基础零部件（元器件）、基础软件、先进基础工艺、关键基础材料和产业技术基础的开发攻关，以增强我国产业核心竞争力。支持高校加强国际合作联合实验室建设，建设世界一流实验室，推进产业技术国际创新合作，积极融入全球创新网络。继续实施高校学科创新引智计划。</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完善高校哲学社会科学体系。坚持马克思主义指导地位，实施以育人育才为中心的高校哲学社会科学整体发展战略，把中国特色社会主义理论体系贯穿研究和教学全过程，构筑学生、学术、学科一体的综合发展体系，建立科学权威、公开透明的哲学社会科学成果评价体系，努力形成中国特色、中国风格、中国气派的学科体系、学术体系、话语体系。积极参与马克思主义理论研究和建设工程，通过开展合作研究等方式积极参与哲学社会科学创新工程，深入实施高校哲学社会科学繁荣计划。坚持以人民为中心的研究导向，加强对党中央治国理政新理念新思想新战略的研究阐释，深入开展重大现实问题、重大理论问题、重大实践经验总结研究。积极参与实施国家哲学社会科学人才工程，加大相关人才计划对哲学社会科学人才的支持力度。完善高校哲学社会科学研究创新平台体系，加强高校马克思主义学院建设，重点建好一批高校人文社会科学重点研究基地、专题数据库和文科实验室。推进中国特色新型高校智库建设。加强国别和区域重点研究基地建设。支持高校建立海外中国学术研究中心，参与和设立国际性学术组织，建设一批优秀外文学术网站和学术期刊。</w:t>
      </w:r>
    </w:p>
    <w:p w:rsidR="00B161C6" w:rsidRDefault="00B161C6" w:rsidP="00B161C6">
      <w:pPr>
        <w:widowControl/>
        <w:spacing w:line="432" w:lineRule="auto"/>
        <w:ind w:firstLine="480"/>
        <w:rPr>
          <w:rFonts w:ascii="宋体" w:eastAsia="宋体" w:hAnsi="宋体" w:cs="宋体" w:hint="eastAsia"/>
          <w:color w:val="333333"/>
          <w:kern w:val="0"/>
          <w:sz w:val="24"/>
          <w:szCs w:val="24"/>
        </w:rPr>
      </w:pPr>
    </w:p>
    <w:p w:rsidR="002B5208" w:rsidRDefault="002B5208" w:rsidP="00B161C6">
      <w:pPr>
        <w:widowControl/>
        <w:spacing w:line="432" w:lineRule="auto"/>
        <w:ind w:firstLine="480"/>
        <w:rPr>
          <w:rFonts w:ascii="宋体" w:eastAsia="宋体" w:hAnsi="宋体" w:cs="宋体" w:hint="eastAsia"/>
          <w:color w:val="333333"/>
          <w:kern w:val="0"/>
          <w:sz w:val="24"/>
          <w:szCs w:val="24"/>
        </w:rPr>
      </w:pP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522"/>
      </w:tblGrid>
      <w:tr w:rsidR="00B161C6" w:rsidRPr="00B161C6" w:rsidTr="002B5208">
        <w:trPr>
          <w:jc w:val="center"/>
        </w:trPr>
        <w:tc>
          <w:tcPr>
            <w:tcW w:w="85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b/>
                <w:bCs/>
                <w:color w:val="333333"/>
                <w:kern w:val="0"/>
                <w:sz w:val="20"/>
                <w:szCs w:val="20"/>
              </w:rPr>
              <w:t>专栏</w:t>
            </w:r>
            <w:r w:rsidRPr="00B161C6">
              <w:rPr>
                <w:rFonts w:ascii="Calibri" w:eastAsia="宋体" w:hAnsi="Calibri" w:cs="Calibri"/>
                <w:b/>
                <w:bCs/>
                <w:color w:val="333333"/>
                <w:kern w:val="0"/>
                <w:sz w:val="20"/>
                <w:szCs w:val="20"/>
              </w:rPr>
              <w:t>5</w:t>
            </w:r>
            <w:r w:rsidRPr="00B161C6">
              <w:rPr>
                <w:rFonts w:ascii="宋体" w:eastAsia="宋体" w:hAnsi="宋体" w:cs="Calibri" w:hint="eastAsia"/>
                <w:b/>
                <w:bCs/>
                <w:color w:val="333333"/>
                <w:kern w:val="0"/>
                <w:sz w:val="20"/>
                <w:szCs w:val="20"/>
              </w:rPr>
              <w:t xml:space="preserve">　中国特色新型高校智库建设推进计划</w:t>
            </w:r>
          </w:p>
        </w:tc>
      </w:tr>
      <w:tr w:rsidR="00B161C6" w:rsidRPr="00B161C6" w:rsidTr="002B5208">
        <w:trPr>
          <w:jc w:val="center"/>
        </w:trPr>
        <w:tc>
          <w:tcPr>
            <w:tcW w:w="85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 xml:space="preserve">　　统筹规划高校各类科研机构、人才团队和项目设置，建立形式多样、结构合理的高校智库。深化高校人文社会科学重点研究基地综合改革，重点建设一批国家急需、特色鲜明、制度创新、引领发展的专业化高端智库。建立咨政研究核心人才库，培养一批复合型智库人才和咨政研究团队。拓展成果应用渠道，支持高校举办高层智库论坛，打造智库成果发布品牌。</w:t>
            </w:r>
          </w:p>
        </w:tc>
      </w:tr>
    </w:tbl>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促进高校科技成果转化。探索完善科研成果、知识产权的归属及利益分配机制，赋予高校科技成果使用、处置和收益管理自主权，调动高校、科研机构和行业企业共同参与应用研究和成果转化的积极性。健全技术转移应用机制，鼓励有条件的高校建立知识产权运营、科技成果转化的专门队伍，形成科技成果转化和知识产权保护、应用的有效机制，推动建立完善有利于科技成果转化的评价体系。建好一批大学科技园、产业创意园和试验区，孵化和扶植一批科技与文化骨干企业。</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（六）促进和规范民办教育发展。</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推进民办学校分类管理。建立非营利性与营利性民办学校分类管理政策体系，实行差别化扶持，加强分类指导和规范管理，推动各类民办学校明确法人属性，明晰产权归属。建立健全政府补贴、政府购买服务、助学贷款、基金奖励、捐资激励等制度，引导社会力量举办非营利性民办学校。推动民办学校适应经济社会发展需要，更新办学理念，深化教育教学改革，提高办学质量。鼓励公办学校、民办学校开展人才交流和深度合作。保障民办学校依法自主办学，完善法人治理结构，健全收费制度、资产管理和财务会计制度，建立教育质量监测、财务监管、风险防控和退出机制，规范民办学校办学秩序，防范办学风险。</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鼓励社会力量进入教育领域。拓展社会力量参与教育发展的渠道和范围。建立更加透明的教育行业准入标准，强化</w:t>
      </w:r>
      <w:r w:rsidRPr="002B5208">
        <w:rPr>
          <w:rFonts w:ascii="仿宋_GB2312" w:eastAsia="仿宋_GB2312" w:hAnsi="宋体" w:cs="宋体" w:hint="eastAsia"/>
          <w:color w:val="333333"/>
          <w:kern w:val="0"/>
          <w:sz w:val="32"/>
          <w:szCs w:val="32"/>
        </w:rPr>
        <w:lastRenderedPageBreak/>
        <w:t>监测监管，鼓励社会力量和民间资本通过多种方式举办学校和教育机构，提供多样化教育产品和服务。发挥市场机制的作用，支持培育教育新业态，扩大教育需求与消费。研究制定相关规范和管理办法，鼓励教育服务外包，引导社会力量为学校提供信息化课程包、实训实习、教师培训、管理支持、质量监测、就业指导等专业化服务，作为政府教育服务的重要补充。</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（七）积极发展“互联网+教育”。</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加快完善制度环境。制定在线教育和数字教育资源质量标准，推动建立数字教育资源的准入和监管机制，完善数字教育资源知识产权保护机制，鼓励企业和其他社会力量开发数字教育资源，形成公平有序的市场环境，培育社会化的数字教育资源服务市场，探索建立“互联网+教育”管理规范，发展互联网教育服务新业态。出台教育数据管理规定，健全安全管理制度，形成教育数据资源开放共享制度机制，确保网络安全与教育资源内容安全。创建一流网络安全学院，加强国家网络安全人才和创新基地建设，形成网络安全人才培养、技术创新、产业发展的良性生态环境。</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进一步改善基础条件。加快推进“宽带网络校校通”，完善学校教育信息化基础设施，加强“无线校园”建设，基本实现各级各类学校宽带网络全覆盖和网络教学环境的普及，具备条件的城镇学校实现无线网络全覆盖，鼓励具备条件的学校配置师生用教学终端。完善国家教育资源公共服务平台，推动形成覆盖全国、互联互通、协同服务的数字教育资源公共服务体系。完善国家教育管理公共服务平台，积极推动国家教育资源与教育管理平台的整合集成和协同发展。</w:t>
      </w:r>
      <w:r w:rsidRPr="002B5208">
        <w:rPr>
          <w:rFonts w:ascii="仿宋_GB2312" w:eastAsia="仿宋_GB2312" w:hAnsi="宋体" w:cs="宋体" w:hint="eastAsia"/>
          <w:color w:val="333333"/>
          <w:kern w:val="0"/>
          <w:sz w:val="32"/>
          <w:szCs w:val="32"/>
        </w:rPr>
        <w:lastRenderedPageBreak/>
        <w:t>广泛应用区域教育云等模式，积极推动各级各类学校建设基于统一数据标准的信息管理平台，实现各类数据伴随式收集和集成化管理，形成支撑教育教学和管理的教育云服务体系。推动职业学校网络仿真实训环境建设。推动高校建立基于互联网、云计算技术的科研协作平台。</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全力推动信息技术与教育教学深度融合。建设课程教学与应用服务有机结合的优质在线开放课程和资源库，全面推进“优质资源班班通”，鼓励教师利用信息技术提升教学水平、创新教学模式，利用翻转课堂、混合式教学等多种方式用好优质数字资源。深入推进“网络学习空间人人通”，形成线上线下有机结合的网络化泛在学习新模式。引导学校与教师依托网络学习空间记录学生学习过程，进行教学综合分析，创新教学管理方式。鼓励学校利用大数据技术开展对教育教学活动和学生行为数据的收集、分析和反馈，为推动个性化学习和针对性教学提供支持。支持各级各类学校建设智慧校园，综合利用互联网、大数据、人工智能和虚拟现实技术探索未来教育教学新模式。鼓励高等学校基于互联网开展学历与非学历继续教育。</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推进优质教育资源共建共享。着力加强“名师课堂”、“名校网络课堂”、“专递课堂”、“在线开放课程”等信息化教育教学和教师教研新模式的探索与推广，加快优质教育资源向农村、边远、贫困、民族地区覆盖；积极鼓励高等学校和职业学校依托优势学科专业开发具有竞争力的在线开放课程，制定在线开放课程教学质量评价标准和学分认定管理办法，将在线课程纳入培养方案和教学计划。鼓励学校或地方通过与具备资质的企业合作、采用线上线下结合等方</w:t>
      </w:r>
      <w:r w:rsidRPr="002B5208">
        <w:rPr>
          <w:rFonts w:ascii="仿宋_GB2312" w:eastAsia="仿宋_GB2312" w:hAnsi="宋体" w:cs="宋体" w:hint="eastAsia"/>
          <w:color w:val="333333"/>
          <w:kern w:val="0"/>
          <w:sz w:val="32"/>
          <w:szCs w:val="32"/>
        </w:rPr>
        <w:lastRenderedPageBreak/>
        <w:t>式，推动在线开放资源平台建设和移动教育应用软件研发。整合各类优质教育资源，推进资源普遍开放共享，鼓励师生共建共享优质资源，加快推动教育服务模式和学习方式的变革。</w:t>
      </w:r>
    </w:p>
    <w:p w:rsidR="00B161C6" w:rsidRPr="00B161C6" w:rsidRDefault="00B161C6" w:rsidP="00B161C6">
      <w:pPr>
        <w:widowControl/>
        <w:spacing w:line="432" w:lineRule="auto"/>
        <w:ind w:firstLine="480"/>
        <w:rPr>
          <w:rFonts w:ascii="宋体" w:eastAsia="宋体" w:hAnsi="宋体" w:cs="宋体"/>
          <w:color w:val="333333"/>
          <w:kern w:val="0"/>
          <w:sz w:val="24"/>
          <w:szCs w:val="24"/>
        </w:rPr>
      </w:pP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522"/>
      </w:tblGrid>
      <w:tr w:rsidR="00B161C6" w:rsidRPr="00B161C6">
        <w:trPr>
          <w:jc w:val="center"/>
        </w:trPr>
        <w:tc>
          <w:tcPr>
            <w:tcW w:w="90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B161C6">
            <w:pPr>
              <w:widowControl/>
              <w:spacing w:line="480" w:lineRule="auto"/>
              <w:jc w:val="center"/>
              <w:rPr>
                <w:rFonts w:ascii="Calibri" w:eastAsia="宋体" w:hAnsi="Calibri" w:cs="Calibri"/>
                <w:color w:val="333333"/>
                <w:kern w:val="0"/>
                <w:szCs w:val="21"/>
              </w:rPr>
            </w:pPr>
            <w:r w:rsidRPr="00B161C6">
              <w:rPr>
                <w:rFonts w:ascii="宋体" w:eastAsia="宋体" w:hAnsi="宋体" w:cs="Calibri" w:hint="eastAsia"/>
                <w:b/>
                <w:bCs/>
                <w:color w:val="333333"/>
                <w:kern w:val="0"/>
                <w:sz w:val="20"/>
                <w:szCs w:val="20"/>
              </w:rPr>
              <w:t>专栏</w:t>
            </w:r>
            <w:r w:rsidRPr="00B161C6">
              <w:rPr>
                <w:rFonts w:ascii="Calibri" w:eastAsia="宋体" w:hAnsi="Calibri" w:cs="Calibri"/>
                <w:b/>
                <w:bCs/>
                <w:color w:val="333333"/>
                <w:kern w:val="0"/>
                <w:sz w:val="20"/>
                <w:szCs w:val="20"/>
              </w:rPr>
              <w:t>6</w:t>
            </w:r>
            <w:r w:rsidRPr="00B161C6">
              <w:rPr>
                <w:rFonts w:ascii="宋体" w:eastAsia="宋体" w:hAnsi="宋体" w:cs="Calibri" w:hint="eastAsia"/>
                <w:b/>
                <w:bCs/>
                <w:color w:val="333333"/>
                <w:kern w:val="0"/>
                <w:sz w:val="20"/>
                <w:szCs w:val="20"/>
              </w:rPr>
              <w:t xml:space="preserve">　推进“互联网</w:t>
            </w:r>
            <w:r w:rsidRPr="00B161C6">
              <w:rPr>
                <w:rFonts w:ascii="Calibri" w:eastAsia="宋体" w:hAnsi="Calibri" w:cs="Calibri"/>
                <w:b/>
                <w:bCs/>
                <w:color w:val="333333"/>
                <w:kern w:val="0"/>
                <w:sz w:val="20"/>
                <w:szCs w:val="20"/>
              </w:rPr>
              <w:t>+</w:t>
            </w:r>
            <w:r w:rsidRPr="00B161C6">
              <w:rPr>
                <w:rFonts w:ascii="宋体" w:eastAsia="宋体" w:hAnsi="宋体" w:cs="Calibri" w:hint="eastAsia"/>
                <w:b/>
                <w:bCs/>
                <w:color w:val="333333"/>
                <w:kern w:val="0"/>
                <w:sz w:val="20"/>
                <w:szCs w:val="20"/>
              </w:rPr>
              <w:t>教育”发展</w:t>
            </w:r>
          </w:p>
        </w:tc>
      </w:tr>
      <w:tr w:rsidR="00B161C6" w:rsidRPr="00B161C6">
        <w:trPr>
          <w:jc w:val="center"/>
        </w:trPr>
        <w:tc>
          <w:tcPr>
            <w:tcW w:w="90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B161C6">
            <w:pPr>
              <w:widowControl/>
              <w:spacing w:line="480" w:lineRule="auto"/>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 xml:space="preserve">　　继续推进“三通两平台”建设与应用，推进数字教育资源普遍开放共享。面向教育发展落后地区和特殊人群，提供公益性数字教育资源服务。加快教育大数据建设与开放共享。发展现代远程教育和在线教育，实施“互联网</w:t>
            </w:r>
            <w:r w:rsidRPr="00B161C6">
              <w:rPr>
                <w:rFonts w:ascii="Calibri" w:eastAsia="宋体" w:hAnsi="Calibri" w:cs="Calibri"/>
                <w:color w:val="333333"/>
                <w:kern w:val="0"/>
                <w:sz w:val="20"/>
                <w:szCs w:val="20"/>
              </w:rPr>
              <w:t>+</w:t>
            </w:r>
            <w:r w:rsidRPr="00B161C6">
              <w:rPr>
                <w:rFonts w:ascii="宋体" w:eastAsia="宋体" w:hAnsi="宋体" w:cs="Calibri" w:hint="eastAsia"/>
                <w:color w:val="333333"/>
                <w:kern w:val="0"/>
                <w:sz w:val="20"/>
                <w:szCs w:val="20"/>
              </w:rPr>
              <w:t>教育培训”行动，支持“互联网</w:t>
            </w:r>
            <w:r w:rsidRPr="00B161C6">
              <w:rPr>
                <w:rFonts w:ascii="Calibri" w:eastAsia="宋体" w:hAnsi="Calibri" w:cs="Calibri"/>
                <w:color w:val="333333"/>
                <w:kern w:val="0"/>
                <w:sz w:val="20"/>
                <w:szCs w:val="20"/>
              </w:rPr>
              <w:t>+</w:t>
            </w:r>
            <w:r w:rsidRPr="00B161C6">
              <w:rPr>
                <w:rFonts w:ascii="宋体" w:eastAsia="宋体" w:hAnsi="宋体" w:cs="Calibri" w:hint="eastAsia"/>
                <w:color w:val="333333"/>
                <w:kern w:val="0"/>
                <w:sz w:val="20"/>
                <w:szCs w:val="20"/>
              </w:rPr>
              <w:t>教育”教学新模式，发展“互联网</w:t>
            </w:r>
            <w:r w:rsidRPr="00B161C6">
              <w:rPr>
                <w:rFonts w:ascii="Calibri" w:eastAsia="宋体" w:hAnsi="Calibri" w:cs="Calibri"/>
                <w:color w:val="333333"/>
                <w:kern w:val="0"/>
                <w:sz w:val="20"/>
                <w:szCs w:val="20"/>
              </w:rPr>
              <w:t>+</w:t>
            </w:r>
            <w:r w:rsidRPr="00B161C6">
              <w:rPr>
                <w:rFonts w:ascii="宋体" w:eastAsia="宋体" w:hAnsi="宋体" w:cs="Calibri" w:hint="eastAsia"/>
                <w:color w:val="333333"/>
                <w:kern w:val="0"/>
                <w:sz w:val="20"/>
                <w:szCs w:val="20"/>
              </w:rPr>
              <w:t>教育”服务新业态。</w:t>
            </w:r>
          </w:p>
        </w:tc>
      </w:tr>
    </w:tbl>
    <w:p w:rsidR="00B161C6" w:rsidRPr="002B5208" w:rsidRDefault="00B161C6" w:rsidP="002B5208">
      <w:pPr>
        <w:widowControl/>
        <w:spacing w:line="520" w:lineRule="exact"/>
        <w:ind w:firstLineChars="200" w:firstLine="643"/>
        <w:rPr>
          <w:rFonts w:ascii="仿宋_GB2312" w:eastAsia="仿宋_GB2312" w:hAnsi="宋体" w:cs="宋体" w:hint="eastAsia"/>
          <w:color w:val="333333"/>
          <w:kern w:val="0"/>
          <w:sz w:val="32"/>
          <w:szCs w:val="32"/>
        </w:rPr>
      </w:pPr>
      <w:r w:rsidRPr="002B5208">
        <w:rPr>
          <w:rFonts w:ascii="仿宋_GB2312" w:eastAsia="仿宋_GB2312" w:hAnsi="宋体" w:cs="宋体" w:hint="eastAsia"/>
          <w:b/>
          <w:bCs/>
          <w:color w:val="333333"/>
          <w:kern w:val="0"/>
          <w:sz w:val="32"/>
          <w:szCs w:val="32"/>
        </w:rPr>
        <w:t>四、协调推进教育结构调整</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（一）推进区域教育协调发展。</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优化教育资源区域布局。科学规划、分类指导、统筹推进东部、中部、西部和东北地区教育发展。新增教育资源重点向革命老区、民族地区、边疆地区、集中连片特困地区倾斜。推动东部地区率先实现教育现代化。支持东北地区加快提升教育服务支撑老工业基地全面振兴的能力。加快中西部地区教育发展，优化顶层设计，整合工程项目，加强最薄弱环节，深入实施中西部高等教育振兴计划和中西部高校基础能力建设工程，支持中西部本科高校改善办学条件，提高办学水平，办好一批高水平大学，立足中西部经济社会发展实际，大力发展职业教育，增加中西部优质教育资源，提升教育发展综合实力，进一步缩小与东部发达地区差距。继续实施支援中西部地区招生协作计划、农村和贫困地区定向招生专项计划，扩大农村贫困地区学生接受优质高等教育机会。</w:t>
      </w:r>
      <w:r w:rsidRPr="002B5208">
        <w:rPr>
          <w:rFonts w:ascii="仿宋_GB2312" w:eastAsia="仿宋_GB2312" w:hAnsi="宋体" w:cs="宋体" w:hint="eastAsia"/>
          <w:color w:val="333333"/>
          <w:kern w:val="0"/>
          <w:sz w:val="32"/>
          <w:szCs w:val="32"/>
        </w:rPr>
        <w:lastRenderedPageBreak/>
        <w:t>进一步支持赣南等原中央苏区和其他重点贫困革命老区教育发展。</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支持国家重大区域发展战略实施。推动“一带一路”建设相关省区市教育合作。加大对“一带一路”建设核心区高等教育和职业教育发展的支持力度。落实京津冀协同发展战略，探索跨行政区划的教育协同发展体制机制，推动三省市教育协同发展，有序疏解北京非首都功能。加强长江经济带教育互联互通，完善区域教育协作机制，引导高等教育、职业教育资源布局与产业由东向西梯度转移相衔接。支持国家重点改革试验区教育创新，及时总结推广试点经验并制度化。</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（二）优化城乡基础教育布局。</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统筹规划城乡教育发展。完善城乡教育布局规划制度和学校布局调整机制，强化省级人民政府对基础教育的统筹规划，以县为基础，建立健全与常住人口变化趋势和空间布局相适应的城乡学校布局建设机制，合理规划学校服务半径。统筹城乡学校布局和建设规模，严控超大规模学校建设，有序扩大城镇学前教育、义务教育资源。城镇新建居住区配建学校、幼儿园实行“交钥匙”工程，促进学校、幼儿园与住宅项目同步规划、同步建设、同步交付使用。加强重点小城镇、城乡结合部、新建城区和城镇危旧房改造区学校建设，增加城镇义务教育学位和乡镇学校寄宿床位，到2020年基本消除56人以上“大班额”。统筹推进县域内城乡义务教育一体化改革发展，实现常住人口基本公共教育服务全覆盖。</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加强农村学校布局规划。在交通便利、公共服务成型的农村地区合理布局义务教育学校。针对地广人稀地区、山区、海岛等特殊困难地区人民群众就学需求，合理布局并办好一</w:t>
      </w:r>
      <w:r w:rsidRPr="002B5208">
        <w:rPr>
          <w:rFonts w:ascii="仿宋_GB2312" w:eastAsia="仿宋_GB2312" w:hAnsi="宋体" w:cs="宋体" w:hint="eastAsia"/>
          <w:color w:val="333333"/>
          <w:kern w:val="0"/>
          <w:sz w:val="32"/>
          <w:szCs w:val="32"/>
        </w:rPr>
        <w:lastRenderedPageBreak/>
        <w:t>批寄宿制学校、边境地区学校，保留并办好必要的小规模学校和教学点，努力保障学生就近入学、接受有质量的教育。合理制定闲置校园校舍综合利用方案，优先用于教育事业发展。</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（三）加快发展现代职业教育。</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完善职业学校布局结构。强化地市级人民政府对中等职业教育的统筹规划，根据城镇化和产业布局调整完善职业学校布局，根据产业发展对技术技能人才的需求优化职业教育体系结构。鼓励产业经济发达地区做好县域内中等职业学校布局规划。新增高等职业学校主要向中小城市、产业集聚区布局。在人口集中和产业发展需要的贫困地区建好一批中等职业学校，重点支持贫困地区建设好符合当地经济社会发展需要的中等职业学校。根据各主体功能区的定位，推动区域内职业学校科学定位，使每一所职业学校集中力量办好当地经济社会发展需要的特色优势专业（集群）。着力建设一批服务现代产业发展和扶贫开发等重点工作领域的高水平职业学校，形成国家重点行业都有骨干职业学校支撑的技术技能人才培养格局，服务产业结构调整优化。</w:t>
      </w:r>
    </w:p>
    <w:p w:rsidR="00B161C6"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提升职业学校基础能力。分类制定职业学校办学标准，实施现代职业教育质量提升计划等项目，提升职业学校办学条件特别是实习实训条件和“双师型”教师队伍建设水平。鼓励社会力量参与举办职业教育。按照鼓励竞争、扶优扶强的原则，通过与行业企业合作，集中力量建设一批高水平职业学校。支持东中西部地区职业学校加强对口合作，通过联合办学、委托管理、集团化办学等形式，提升专业建设、课程开发、学校管理水平。</w:t>
      </w:r>
    </w:p>
    <w:p w:rsidR="002B5208" w:rsidRPr="002B5208" w:rsidRDefault="002B5208" w:rsidP="002B5208">
      <w:pPr>
        <w:widowControl/>
        <w:spacing w:line="520" w:lineRule="exact"/>
        <w:ind w:firstLineChars="200" w:firstLine="640"/>
        <w:rPr>
          <w:rFonts w:ascii="仿宋_GB2312" w:eastAsia="仿宋_GB2312" w:hAnsi="宋体" w:cs="宋体" w:hint="eastAsia"/>
          <w:color w:val="333333"/>
          <w:kern w:val="0"/>
          <w:sz w:val="32"/>
          <w:szCs w:val="32"/>
        </w:rPr>
      </w:pP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522"/>
      </w:tblGrid>
      <w:tr w:rsidR="00B161C6" w:rsidRPr="00B161C6">
        <w:trPr>
          <w:jc w:val="center"/>
        </w:trPr>
        <w:tc>
          <w:tcPr>
            <w:tcW w:w="90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b/>
                <w:bCs/>
                <w:color w:val="333333"/>
                <w:kern w:val="0"/>
                <w:sz w:val="20"/>
                <w:szCs w:val="20"/>
              </w:rPr>
              <w:t>专栏</w:t>
            </w:r>
            <w:r w:rsidRPr="00B161C6">
              <w:rPr>
                <w:rFonts w:ascii="Calibri" w:eastAsia="宋体" w:hAnsi="Calibri" w:cs="Calibri"/>
                <w:b/>
                <w:bCs/>
                <w:color w:val="333333"/>
                <w:kern w:val="0"/>
                <w:sz w:val="20"/>
                <w:szCs w:val="20"/>
              </w:rPr>
              <w:t>7</w:t>
            </w:r>
            <w:r w:rsidRPr="00B161C6">
              <w:rPr>
                <w:rFonts w:ascii="宋体" w:eastAsia="宋体" w:hAnsi="宋体" w:cs="Calibri" w:hint="eastAsia"/>
                <w:b/>
                <w:bCs/>
                <w:color w:val="333333"/>
                <w:kern w:val="0"/>
                <w:sz w:val="20"/>
                <w:szCs w:val="20"/>
              </w:rPr>
              <w:t xml:space="preserve">　高水平职业学校建设</w:t>
            </w:r>
          </w:p>
        </w:tc>
      </w:tr>
      <w:tr w:rsidR="00B161C6" w:rsidRPr="00B161C6">
        <w:trPr>
          <w:jc w:val="center"/>
        </w:trPr>
        <w:tc>
          <w:tcPr>
            <w:tcW w:w="90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 xml:space="preserve">　　围绕深化产教融合、校企合作、工学结合主线，支持</w:t>
            </w:r>
            <w:r w:rsidRPr="00B161C6">
              <w:rPr>
                <w:rFonts w:ascii="Calibri" w:eastAsia="宋体" w:hAnsi="Calibri" w:cs="Calibri"/>
                <w:color w:val="333333"/>
                <w:kern w:val="0"/>
                <w:sz w:val="20"/>
                <w:szCs w:val="20"/>
              </w:rPr>
              <w:t>100</w:t>
            </w:r>
            <w:r w:rsidRPr="00B161C6">
              <w:rPr>
                <w:rFonts w:ascii="宋体" w:eastAsia="宋体" w:hAnsi="宋体" w:cs="Calibri" w:hint="eastAsia"/>
                <w:color w:val="333333"/>
                <w:kern w:val="0"/>
                <w:sz w:val="20"/>
                <w:szCs w:val="20"/>
              </w:rPr>
              <w:t>所左右高等职业学校和</w:t>
            </w:r>
            <w:r w:rsidRPr="00B161C6">
              <w:rPr>
                <w:rFonts w:ascii="Calibri" w:eastAsia="宋体" w:hAnsi="Calibri" w:cs="Calibri"/>
                <w:color w:val="333333"/>
                <w:kern w:val="0"/>
                <w:sz w:val="20"/>
                <w:szCs w:val="20"/>
              </w:rPr>
              <w:t>1000</w:t>
            </w:r>
            <w:r w:rsidRPr="00B161C6">
              <w:rPr>
                <w:rFonts w:ascii="宋体" w:eastAsia="宋体" w:hAnsi="宋体" w:cs="Calibri" w:hint="eastAsia"/>
                <w:color w:val="333333"/>
                <w:kern w:val="0"/>
                <w:sz w:val="20"/>
                <w:szCs w:val="20"/>
              </w:rPr>
              <w:t>所左右中等职业学校建设，改善基本办学和实习实训条件，强化国家重点领域产业和区域支柱产业相关专业建设，重点提升学校服务学历教育、社区教育、职工教育培训等能力，建成一批人才培养、科技创新、专业建设与产业融合发展的高水平职业学校。</w:t>
            </w:r>
          </w:p>
        </w:tc>
      </w:tr>
    </w:tbl>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强化大国工匠后备人才培养。着力提升职业学校人才培养质量，加强职业精神培育，推进产业文化、优秀企业文化、职业文化进校园进课堂，促进职业技能和职业精神高度融合，着力培养崇尚劳动、敬业守信、精益求精、敢于创新的工匠精神。推动职业学校与行业企业共建技术工艺和产品研发中心、实验实训平台、技能大师工作室等，完善职业学校学生技能竞赛制度，统筹职业学校教学体系和竞赛体系，建立健全大国工匠优秀后备人才早期发现、选拔和培养制度。打通职业教育人才培养通道，让职业学校学生的技术技能可以通过不断深造得到发展。</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（四）调整高等教育结构。</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推进高等教育分类发展、合理布局。推动地方开展高等学校分类管理改革试点，以人才培养定位为基础建立高等教育分类体系，研究制定高校分类设置、分类指导、分类拨款、分类评估等制度，努力形成高等学校科学定位、特色发展的局面。改进高等院校设置和招生计划管理办法，探索建立高校办学条件预警机制和退出机制，引导地方着力办好现有高校，强化省级人民政府对高等教育的统筹规划，新增高等教育资源向新的城镇化地区、产业集聚区、边境城市延伸。优先发展应用技术类型高校、小规模有特色学院。加快建成一批为地方经济和社会发展服务的高水平应用型高等学校和高等职业学校。根据高等学校设置制度规定，将符合条件的技师学院纳入高等学校序列。</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lastRenderedPageBreak/>
        <w:t>推动具备条件的普通本科高校向应用型转变。推动各地开展转型发展试点，加强对改革试点的统筹指导，加快推进配套制度改革，总结推广试点典型经验。充分发挥试点高校改革创新的主动性、积极性和示范引领作用，引导高校从治理结构、专业体系、课程内容、教学方式、师资结构等方面进行全方位、系统性的改革，把办学思路真正转到服务地方经济社会发展上来，把办学定位转到培养应用型和技术技能型人才上来，转到增强学生就业创业能力上来，把办学模式转到产教融合、校企合作上来，到“十三五”末，建成一批直接为区域发展和产业振兴服务的中国特色高水平应用型高校，形成科学合理的高等教育结构。</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522"/>
      </w:tblGrid>
      <w:tr w:rsidR="00B161C6" w:rsidRPr="00B161C6" w:rsidTr="002B5208">
        <w:trPr>
          <w:jc w:val="center"/>
        </w:trPr>
        <w:tc>
          <w:tcPr>
            <w:tcW w:w="85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b/>
                <w:bCs/>
                <w:color w:val="333333"/>
                <w:kern w:val="0"/>
                <w:sz w:val="20"/>
                <w:szCs w:val="20"/>
              </w:rPr>
              <w:t>专栏</w:t>
            </w:r>
            <w:r w:rsidRPr="00B161C6">
              <w:rPr>
                <w:rFonts w:ascii="Calibri" w:eastAsia="宋体" w:hAnsi="Calibri" w:cs="Calibri"/>
                <w:b/>
                <w:bCs/>
                <w:color w:val="333333"/>
                <w:kern w:val="0"/>
                <w:sz w:val="20"/>
                <w:szCs w:val="20"/>
              </w:rPr>
              <w:t>8</w:t>
            </w:r>
            <w:r w:rsidRPr="00B161C6">
              <w:rPr>
                <w:rFonts w:ascii="宋体" w:eastAsia="宋体" w:hAnsi="宋体" w:cs="Calibri" w:hint="eastAsia"/>
                <w:b/>
                <w:bCs/>
                <w:color w:val="333333"/>
                <w:kern w:val="0"/>
                <w:sz w:val="20"/>
                <w:szCs w:val="20"/>
              </w:rPr>
              <w:t xml:space="preserve">　应用型本科高校建设</w:t>
            </w:r>
          </w:p>
        </w:tc>
      </w:tr>
      <w:tr w:rsidR="00B161C6" w:rsidRPr="00B161C6" w:rsidTr="002B5208">
        <w:trPr>
          <w:jc w:val="center"/>
        </w:trPr>
        <w:tc>
          <w:tcPr>
            <w:tcW w:w="85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 xml:space="preserve">　　支持一批地方应用型本科高校建设，重点加强实验实训实习环境、平台和基地建设，鼓励吸引行业企业参与，建设产教融合、校企合作、产学研一体的实验实训实习设施，推动技术技能人才培养和应用技术创新。</w:t>
            </w:r>
          </w:p>
        </w:tc>
      </w:tr>
    </w:tbl>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提高应用型、技术技能型和复合型人才培养比重。新增高等教育招生计划主要向应用型、技术技能型人才培养倾斜。稳步扩大研究生培养规模。扩大专业学位硕士研究生培养比例，积极稳妥推进博士专业学位研究生培养，新增计划主要用于紧缺人才培养。加快发展新兴学科、交叉学科。推进军民融合，改革完善依托国民教育培养军事人才的政策制度，做好普通高校国防生培养工作，扩大高等学校与军队合作培养军地两用人才规模。</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（五）大力发展继续教育。</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加快构建终身教育制度。制定国家资历框架，建立个人学习账号和学分累计制度。统筹协调各相关部门，建立各类继续教育基本统计制度。建立多种学习成果认证平台。探索高中后教育全面实行学分制，实行弹性学制和学习者自主选</w:t>
      </w:r>
      <w:r w:rsidRPr="002B5208">
        <w:rPr>
          <w:rFonts w:ascii="仿宋_GB2312" w:eastAsia="仿宋_GB2312" w:hAnsi="宋体" w:cs="宋体" w:hint="eastAsia"/>
          <w:color w:val="333333"/>
          <w:kern w:val="0"/>
          <w:sz w:val="32"/>
          <w:szCs w:val="32"/>
        </w:rPr>
        <w:lastRenderedPageBreak/>
        <w:t>课。探索建立与完全学分制相适应的高校教育教学、课程设置、学籍管理、按学分收费等各项制度，推动各类高等学校之间以课程为基础开展学分认定和转换。创新高等教育自学考试学分认定和转换，完善不同专业、不同主考院校的学分认定和转换，推动高等教育自学考试认可高等学校课程学分，探索将高等教育自学考试学分转换为高等学校学分。探索非学历教育学习成果认定和转换，使各种非学历学习成果通过一定的标准和程序，经过高等学校和自考机构认定后，可转换成相应的课程学分，认定标准由高等学校自主制定。允许学习者通过课堂学习、在线学习、自学等方式获得学分，建立健全职业教育与普通教育、学历教育与非学历教育、职前教育与职后教育沟通衔接的机制，逐步扩大高等学校招收有实践经历人员的比例，制定不同人群接受教育的资助制度，使所有公民都有机会通过直接升学、先就业再升学、边就业边学习等多种方式不断发展。</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522"/>
      </w:tblGrid>
      <w:tr w:rsidR="00B161C6" w:rsidRPr="00B161C6">
        <w:trPr>
          <w:jc w:val="center"/>
        </w:trPr>
        <w:tc>
          <w:tcPr>
            <w:tcW w:w="90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b/>
                <w:bCs/>
                <w:color w:val="333333"/>
                <w:kern w:val="0"/>
                <w:sz w:val="20"/>
                <w:szCs w:val="20"/>
              </w:rPr>
              <w:t>专栏</w:t>
            </w:r>
            <w:r w:rsidRPr="00B161C6">
              <w:rPr>
                <w:rFonts w:ascii="Calibri" w:eastAsia="宋体" w:hAnsi="Calibri" w:cs="Calibri"/>
                <w:b/>
                <w:bCs/>
                <w:color w:val="333333"/>
                <w:kern w:val="0"/>
                <w:sz w:val="20"/>
                <w:szCs w:val="20"/>
              </w:rPr>
              <w:t>9</w:t>
            </w:r>
            <w:r w:rsidRPr="00B161C6">
              <w:rPr>
                <w:rFonts w:ascii="宋体" w:eastAsia="宋体" w:hAnsi="宋体" w:cs="Calibri" w:hint="eastAsia"/>
                <w:b/>
                <w:bCs/>
                <w:color w:val="333333"/>
                <w:kern w:val="0"/>
                <w:sz w:val="20"/>
                <w:szCs w:val="20"/>
              </w:rPr>
              <w:t xml:space="preserve">　建立学分银行和信息化平台</w:t>
            </w:r>
          </w:p>
        </w:tc>
      </w:tr>
      <w:tr w:rsidR="00B161C6" w:rsidRPr="00B161C6">
        <w:trPr>
          <w:jc w:val="center"/>
        </w:trPr>
        <w:tc>
          <w:tcPr>
            <w:tcW w:w="90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 xml:space="preserve">　　完善学习成果认证制度，通过部分地区率先探索、以点带面的方式，推进国家学分银行建设，为每一位学习者提供能够记录、存储自己的学习经历和成果的个人学习账号，对学习者的各类学习成果进行统一的认证与核算，使其在各个阶段通过各种途径获得的学分可以得到积累或转换。被认定的学分，可累计作为获取学历证书、职业资格证书或培训证书的凭证。</w:t>
            </w:r>
          </w:p>
        </w:tc>
      </w:tr>
    </w:tbl>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加强继续教育平台建设。明确各类高等学校和职业学校发展继续教育的职责任务、考核标准，推动高等学校和职业学校进一步开放办学，面向城乡从业人员广泛开展教育培训服务，特别是面向行业企业，持续开展职工继续教育，重点增强职工的职业理想，提高职业道德、技术技能、管理水平以及学历层次。加强顶层设计，完善自学考试制度，办好开放大学，提供优质继续教育资源。继续办好各类成人教育机构。支持办好企业大学和企事业单位职工继续教育基地，鼓励各类社会培训机构依法开展教育培训活动。充分发挥成人、</w:t>
      </w:r>
      <w:r w:rsidRPr="002B5208">
        <w:rPr>
          <w:rFonts w:ascii="仿宋_GB2312" w:eastAsia="仿宋_GB2312" w:hAnsi="宋体" w:cs="宋体" w:hint="eastAsia"/>
          <w:color w:val="333333"/>
          <w:kern w:val="0"/>
          <w:sz w:val="32"/>
          <w:szCs w:val="32"/>
        </w:rPr>
        <w:lastRenderedPageBreak/>
        <w:t>社区教育机构、县级职业教育中心、农业广播电视学校的作用，使之成为区域职业教育与培训、技术推广、扶贫开发和社会生活教育的开放平台，健全遍布城乡的继续教育网络。</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统筹扩大继续教育服务。强化省级、地市级政府对继续教育的统筹规划，加快构建政府、企业、社会共同参与的终身学习激励机制，建设覆盖全国城乡、开放便捷的终身学习公共服务体系。整合继续教育资源，基于社会工作岗位需求，向学习者提供教育培训“技能包”。重视开展面向现役和退役军人的继续教育，着力落实好退役大学生士兵专项硕士研究生招生计划等政策。整合资源，健全城乡一体的社区教育办学网络，广泛开展城乡社区教育，促进学校教育资源服务社区居民。推动学习型城市建设。持续开展“全民终身学习活动周”，倡导全民阅读。推进老年教育机构逐步纳入地方公共服务体系，完善老年人学习服务体系，办好老年大学，有效扩大老年教育资源供给。</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522"/>
      </w:tblGrid>
      <w:tr w:rsidR="00B161C6" w:rsidRPr="00B161C6">
        <w:trPr>
          <w:jc w:val="center"/>
        </w:trPr>
        <w:tc>
          <w:tcPr>
            <w:tcW w:w="90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b/>
                <w:bCs/>
                <w:color w:val="333333"/>
                <w:kern w:val="0"/>
                <w:sz w:val="20"/>
                <w:szCs w:val="20"/>
              </w:rPr>
              <w:t>专栏</w:t>
            </w:r>
            <w:r w:rsidRPr="00B161C6">
              <w:rPr>
                <w:rFonts w:ascii="Calibri" w:eastAsia="宋体" w:hAnsi="Calibri" w:cs="Calibri"/>
                <w:b/>
                <w:bCs/>
                <w:color w:val="333333"/>
                <w:kern w:val="0"/>
                <w:sz w:val="20"/>
                <w:szCs w:val="20"/>
              </w:rPr>
              <w:t>10</w:t>
            </w:r>
            <w:r w:rsidRPr="00B161C6">
              <w:rPr>
                <w:rFonts w:ascii="宋体" w:eastAsia="宋体" w:hAnsi="宋体" w:cs="Calibri" w:hint="eastAsia"/>
                <w:b/>
                <w:bCs/>
                <w:color w:val="333333"/>
                <w:kern w:val="0"/>
                <w:sz w:val="20"/>
                <w:szCs w:val="20"/>
              </w:rPr>
              <w:t xml:space="preserve">　发展继续教育</w:t>
            </w:r>
          </w:p>
        </w:tc>
      </w:tr>
      <w:tr w:rsidR="00B161C6" w:rsidRPr="00B161C6">
        <w:trPr>
          <w:jc w:val="center"/>
        </w:trPr>
        <w:tc>
          <w:tcPr>
            <w:tcW w:w="90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 xml:space="preserve">　　建立面向全民的终身学习成果认证、积累与转换公共服务平台。为进城定居农民工、新型职业农民、现代产业工人和退役军人等重点人群提供学历和非学历继续教育，推进实施农民继续教育，支持农民通过半工半读方式就近接受职业教育和培训。实施农民工学历与能力提升行动计划，资助</w:t>
            </w:r>
            <w:r w:rsidRPr="00B161C6">
              <w:rPr>
                <w:rFonts w:ascii="Calibri" w:eastAsia="宋体" w:hAnsi="Calibri" w:cs="Calibri"/>
                <w:color w:val="333333"/>
                <w:kern w:val="0"/>
                <w:sz w:val="20"/>
                <w:szCs w:val="20"/>
              </w:rPr>
              <w:t>150</w:t>
            </w:r>
            <w:r w:rsidRPr="00B161C6">
              <w:rPr>
                <w:rFonts w:ascii="宋体" w:eastAsia="宋体" w:hAnsi="宋体" w:cs="Calibri" w:hint="eastAsia"/>
                <w:color w:val="333333"/>
                <w:kern w:val="0"/>
                <w:sz w:val="20"/>
                <w:szCs w:val="20"/>
              </w:rPr>
              <w:t>万名符合入学条件的农民工接受本、专科学历继续教育。</w:t>
            </w:r>
          </w:p>
        </w:tc>
      </w:tr>
    </w:tbl>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（六）加快培养现代产业急需人才。</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加快学科专业结构调整。扩大高等学校和职业学校专业设置自主权，除对涉及国家安全、公共安全和人身安全等特殊行业的学科和专业实行国家管理外，学校依法自主设置专业。加强专业设置政策引导，及时修订中职、本专科专业目录和研究生学科目录，调减社会需求不足的长线专业。推动高校加快新兴交叉学科建设，通过专业改造等方式设置复合型专业。发挥行业协会与行业职业教育教学指导委员会作用，探索建立多部门协同的人才需求预测机制，完善资源配置机</w:t>
      </w:r>
      <w:r w:rsidRPr="002B5208">
        <w:rPr>
          <w:rFonts w:ascii="仿宋_GB2312" w:eastAsia="仿宋_GB2312" w:hAnsi="宋体" w:cs="宋体" w:hint="eastAsia"/>
          <w:color w:val="333333"/>
          <w:kern w:val="0"/>
          <w:sz w:val="32"/>
          <w:szCs w:val="32"/>
        </w:rPr>
        <w:lastRenderedPageBreak/>
        <w:t>制和评估评价机制等，引导学校围绕科技创新和经济社会发展需要设置专业，形成办学特色。</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522"/>
      </w:tblGrid>
      <w:tr w:rsidR="00B161C6" w:rsidRPr="00B161C6">
        <w:trPr>
          <w:jc w:val="center"/>
        </w:trPr>
        <w:tc>
          <w:tcPr>
            <w:tcW w:w="90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b/>
                <w:bCs/>
                <w:color w:val="333333"/>
                <w:kern w:val="0"/>
                <w:sz w:val="20"/>
                <w:szCs w:val="20"/>
              </w:rPr>
              <w:t>专栏</w:t>
            </w:r>
            <w:r w:rsidRPr="00B161C6">
              <w:rPr>
                <w:rFonts w:ascii="Calibri" w:eastAsia="宋体" w:hAnsi="Calibri" w:cs="Calibri"/>
                <w:b/>
                <w:bCs/>
                <w:color w:val="333333"/>
                <w:kern w:val="0"/>
                <w:sz w:val="20"/>
                <w:szCs w:val="20"/>
              </w:rPr>
              <w:t>11</w:t>
            </w:r>
            <w:r w:rsidRPr="00B161C6">
              <w:rPr>
                <w:rFonts w:ascii="宋体" w:eastAsia="宋体" w:hAnsi="宋体" w:cs="Calibri" w:hint="eastAsia"/>
                <w:b/>
                <w:bCs/>
                <w:color w:val="333333"/>
                <w:kern w:val="0"/>
                <w:sz w:val="20"/>
                <w:szCs w:val="20"/>
              </w:rPr>
              <w:t xml:space="preserve">　服务现代产业的新兴学科专业集群建设</w:t>
            </w:r>
          </w:p>
        </w:tc>
      </w:tr>
      <w:tr w:rsidR="00B161C6" w:rsidRPr="00B161C6">
        <w:trPr>
          <w:jc w:val="center"/>
        </w:trPr>
        <w:tc>
          <w:tcPr>
            <w:tcW w:w="90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 xml:space="preserve">　　建设一大批以校企合作为基础，集人才培养、继续教育、科研创新、科技服务于一体的专业集群，校企联合开发课程和教学资源，联合培养培训师资队伍，共建实验实训实习基地。优先在北京、上海、武汉等地建设一批集成电路实训基地，构建我国集成电路人才培养学科专业集群，加快人才培养和产业关键技术研发。</w:t>
            </w:r>
          </w:p>
        </w:tc>
      </w:tr>
    </w:tbl>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大力培养现代农业人才。加大对涉农学科专业的投入力度和学生资助力度，推进涉农学科、专业现代化。深化农业人才培养模式改革，加快培养现代农业领军人才、高技能人才和新型职业农民。充分发挥农业院校在新型职业农民培育、农业科技创新、农业技术推广应用等方面的重要作用，形成与现代农业发展相适应的农业人才培养和农业技术创新推广网络。</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加快培养战略性新兴产业急需人才。面向“中国制造2025”重点领域，支持高水平大学加强制造业相关核心技术学科、专业建设，支持职业学校开设先进装备制造和基础制造相关专业。继续实施专业技术人才知识更新工程和先进制造卓越工程师培养计划，加快培养急需工程技术人才。扩大节能环保、新一代信息技术、生物、高端装备制造、新能源、新材料和新能源汽车等战略性新兴产业人才培养规模。服务国家“互联网+”行动、大数据战略，打破传统学科、专业局限，大力发展移动互联网、云计算、大数据、物联网、智能硬件、集成电路等新兴学科专业，加快培养信息技术与产业升级、技术创新和社会服务融合发展的复合型人才。</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加强现代服务业和社会管理服务人才培养。完善生产性和生活性服务业人才培养体系，加快培养研发设计、知识产权、检验检测、现代物流、电子商务、金融、涉外法律、国际交流、旅游、健康、体育以及涉老等领域的新型专业人才。</w:t>
      </w:r>
      <w:r w:rsidRPr="002B5208">
        <w:rPr>
          <w:rFonts w:ascii="仿宋_GB2312" w:eastAsia="仿宋_GB2312" w:hAnsi="宋体" w:cs="宋体" w:hint="eastAsia"/>
          <w:color w:val="333333"/>
          <w:kern w:val="0"/>
          <w:sz w:val="32"/>
          <w:szCs w:val="32"/>
        </w:rPr>
        <w:lastRenderedPageBreak/>
        <w:t>完善全科医学人才培养体系，为贫困地区和农村基层定向免费培养全科医学人才。加强儿科等紧缺人才培养，支持儿科医疗资源短缺的地区在有条件的高校举办儿科学本科专业。支持建设康复大学，加快培养康复人才。加强专业社会工作人才培养。积极推动公安院校、公安专业人才招录培养制度改革，加强公安专业人才培养。</w:t>
      </w:r>
    </w:p>
    <w:p w:rsidR="00B161C6" w:rsidRPr="002B5208" w:rsidRDefault="00B161C6" w:rsidP="002B5208">
      <w:pPr>
        <w:widowControl/>
        <w:spacing w:line="520" w:lineRule="exact"/>
        <w:ind w:firstLineChars="200" w:firstLine="643"/>
        <w:rPr>
          <w:rFonts w:ascii="仿宋_GB2312" w:eastAsia="仿宋_GB2312" w:hAnsi="宋体" w:cs="宋体" w:hint="eastAsia"/>
          <w:color w:val="333333"/>
          <w:kern w:val="0"/>
          <w:sz w:val="32"/>
          <w:szCs w:val="32"/>
        </w:rPr>
      </w:pPr>
      <w:r w:rsidRPr="002B5208">
        <w:rPr>
          <w:rFonts w:ascii="仿宋_GB2312" w:eastAsia="仿宋_GB2312" w:hAnsi="宋体" w:cs="宋体" w:hint="eastAsia"/>
          <w:b/>
          <w:bCs/>
          <w:color w:val="333333"/>
          <w:kern w:val="0"/>
          <w:sz w:val="32"/>
          <w:szCs w:val="32"/>
        </w:rPr>
        <w:t>五、协同营造良好育人生态</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（一）优化校园育人环境。</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加强校园文化建设。加强和改进学校管理和课堂教学管理，严格课堂纪律、考试纪律、生活纪律，树立良好校风校纪。广泛开展文明校园创建，开展形式多样、健康向上、格调高雅的校园文化活动，推进“一校一品”校园文化建设，引导各级各类学校建设特色校园文化。加强校园网络内容建设，打造若干具有广泛影响的核心价值观主题教育网站和网络互动社区。整合利用资源，探索学校和社会文化基础设施共建共享。继续推进乡村学校少年宫建设。</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创建平安校园。开展教育系统稳定风险评估和监测。加强教育系统防灾减灾能力建设。加快学校危旧房改造，消除校舍安全隐患。巩固高等学校后勤改革成果，健全各级各类学校后勤保障机制。完善学校重大突发事件快速反应机制，健全学校安全管理制度，推进学校公共安全视频监控建设及联网应用工作，加强人防、物防、技防设施建设，确保学校食品、人身、设施和活动安全。构建预防和惩治“校园欺凌”的有效机制，防范校园恶性安全事件。探索建立学生意外伤害援助制度，完善事故处理和涉校涉生矛盾纠纷仲裁、调解机制，依法维护学校正常教育教学秩序和师生合法权益。</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lastRenderedPageBreak/>
        <w:t>（二）改善社会育人环境。</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建立政府、学校、社会、家庭全面参与的协同育人工作机制。落实政府主导责任，坚持正确的舆论导向，壮大主流思想舆论，创新和改进网上宣传，把握网络传播规律，充分利用微博、微信等新媒体、新手段，为青少年提供内容健康向上、具有艺术魅力的精神产品，弘扬主旋律，激发正能量，加强教育公益宣传，引导社会树立正确的教育观、人才观，营造良好舆论环境。开展青年网络文明志愿行动，参与监督和遏制网上违法和不良信息传播，营造清朗网络空间。开展校园及周边文化环境综合治理行动，严禁经营性网吧向未成年人提供服务。促进企事业单位和社区履行教育责任，充分利用各类教育资源，积极参与举办职业教育与培训及育人活动，主动为学生实习、实训和社会实践提供条件和便利。认真执行就业准入制度，促进企业提高技术技能人才收入水平。明确家庭教育责任，强化家长教育，普及家庭教育常识，引导父母做好学生的第一任老师，促进青少年人格养成、心理健康成长。</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优化语言文字环境。实施国家通用语言文字普及攻坚工程。强化对社会用语用字的监督检查和教育引导。基本普及国家通用语言文字，各级各类学校国家通用语言文字普及率达到95%，语言文字使用规范化程度全部达标。推进中国语言资源保护工程和语言文字规范标准建设。加强语言文字信息化关键技术研究与应用。推进国家手语和盲文规范化建设，加快规范和推广国家通用手语和盲文。加大中华经典资源库建设工作力度。广泛开展中华经典诵读、规范汉字书写等系</w:t>
      </w:r>
      <w:r w:rsidRPr="002B5208">
        <w:rPr>
          <w:rFonts w:ascii="仿宋_GB2312" w:eastAsia="仿宋_GB2312" w:hAnsi="宋体" w:cs="宋体" w:hint="eastAsia"/>
          <w:color w:val="333333"/>
          <w:kern w:val="0"/>
          <w:sz w:val="32"/>
          <w:szCs w:val="32"/>
        </w:rPr>
        <w:lastRenderedPageBreak/>
        <w:t>列活动。继续办好弘扬传播中华优秀语言文化的品牌节目，打造中国语言文化传播品牌。</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（三）构建教育诚信环境。</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着力加强诚信教育，把诚信教育纳入人才培养各环节，引导学生养成诚实守信的道德品质。完善诚信考试管理体系，充实国家教育考试诚信档案数据库，将有关信用记录纳入全国信用信息共享平台，加大对考试违纪、论文抄袭、学历学位造假等失信违约行为的监督和处罚力度。建立健全定向培养学生履约情况记录与违约惩戒机制。</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（四）建立科学评价体系。</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充分发挥教育评价对科学育人的导向作用，把促进人的全面发展、适应经济社会发展作为评价教育质量的根本标准。全面改进各级各类教育评价体系，注重考查学生适应社会发展和终身发展的能力，防止单纯以升学率考核学校和教师、单纯以分数评价学生。探索实行利益攸关方共同参与的开放式评价，完善评价结果公开机制。</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推进基础教育质量综合评价改革。面向未来，明确各学段学生发展核心素养，实施基于核心素养的教学评价，促进学生全面发展和可持续发展。构建教育质量综合评价指标体系，把学生的品德、学业、身心发展水平和兴趣特长养成等作为评价学校教育质量的主要内容。建立学业负担监测机制，切实减轻中小学生过重课业负担。</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构建科学的职业教育评价制度。将学习者职业道德、技术技能水平和就业创业能力作为评价的主要内容，强化实习实训环节的评价。支持行业组织开展职业学校人才培养质量评估，完善学校、行业、企业、研究机构和其他社会组织共</w:t>
      </w:r>
      <w:r w:rsidRPr="002B5208">
        <w:rPr>
          <w:rFonts w:ascii="仿宋_GB2312" w:eastAsia="仿宋_GB2312" w:hAnsi="宋体" w:cs="宋体" w:hint="eastAsia"/>
          <w:color w:val="333333"/>
          <w:kern w:val="0"/>
          <w:sz w:val="32"/>
          <w:szCs w:val="32"/>
        </w:rPr>
        <w:lastRenderedPageBreak/>
        <w:t>同参与的职业教育质量评价机制。完善职业教育质量年度报告制度。鼓励企业、用人单位开展毕业生就业质量、满意度等评价。提升人才培养和行业需求的吻合度。</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改进高校人才培养质量评价。按照培养有理想、有追求、有担当、有作为、有品质、有修养大学生的目标要求，实施教学质量国家标准，规范专业领域人才培养基本要求，鼓励行业部门（协会）制定人才评价标准，推动高校制定各专业人才培养标准和评价办法。坚持思想道德修养和文化知识学习、创新思维和实践能力、全面发展和个性发展紧密结合，坚持高校学生学习过程性和结果性评价相结合，严格课程考核标准和管理，探索基于真实任务的评价方法，注重考核学生运用知识系统分析问题和解决问题的能力。</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（五）建设绿色校园。</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加强节约型校园建设。推动在教育系统实施能效水效领跑者引领行动。开展绿色校园建设试点。修订和落实学校建设标准，强化绿色节能环保要求。提高学校节能水平，加强节能运行管理和监督评价，探索建立学校用电、用能、用水等资源利用统计和报告公示制度，制定垃圾回收管理办法。完善评价监管措施，形成有利于节约的约束和激励机制，使学校能最大限度地节约各类资源，保护环境并减少污染。鼓励引导有条件的地区和学校应用新能源、新技术。</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建设美丽校园。加强校园绿化和环境美化。完善校园环境安全标准，严格对学校土壤、水源、建筑和装修材料、教学仪器设备、体育设施器材、室内空气等的环保检测与管理，为师生提供安全、绿色、健康的教学和生活环境。</w:t>
      </w:r>
    </w:p>
    <w:p w:rsidR="00B161C6" w:rsidRPr="002B5208" w:rsidRDefault="00B161C6" w:rsidP="002B5208">
      <w:pPr>
        <w:widowControl/>
        <w:spacing w:line="520" w:lineRule="exact"/>
        <w:ind w:firstLineChars="200" w:firstLine="643"/>
        <w:rPr>
          <w:rFonts w:ascii="仿宋_GB2312" w:eastAsia="仿宋_GB2312" w:hAnsi="宋体" w:cs="宋体" w:hint="eastAsia"/>
          <w:color w:val="333333"/>
          <w:kern w:val="0"/>
          <w:sz w:val="32"/>
          <w:szCs w:val="32"/>
        </w:rPr>
      </w:pPr>
      <w:r w:rsidRPr="002B5208">
        <w:rPr>
          <w:rFonts w:ascii="仿宋_GB2312" w:eastAsia="仿宋_GB2312" w:hAnsi="宋体" w:cs="宋体" w:hint="eastAsia"/>
          <w:b/>
          <w:bCs/>
          <w:color w:val="333333"/>
          <w:kern w:val="0"/>
          <w:sz w:val="32"/>
          <w:szCs w:val="32"/>
        </w:rPr>
        <w:t>六、统筹推动教育开放</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lastRenderedPageBreak/>
        <w:t>（一）优化教育对外开放布局。</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实施共建“一带一路”教育行动。积极倡议“一带一路”沿线各国构建教育共同体，开展教育互联互通、人才培养培训、丝路合作机制建设等方面重点合作，对接沿线各国意愿，互鉴先进教育经验，共享优质教育资源。设立“丝绸之路”中国政府奖学金。加强与“一带一路”沿线国家学校学历互认、师生互换，建立更加密切的教育合作交流机制。支持有条件的高校和职业学校配合企业走出去，建立办学机构、研发机构。</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分类推进教育国际合作交流。加强与大国、周边国家、发展中国家教育务实合作，形成重点推进、合作共赢的教育对外开放局面。以优质资源请进来为重点，深化与发达国家教育合作交流；以教育走出去为重点，扩大与发展中国家教育合作交流。加强与东南亚、非洲国家教育合作。增进新欧亚大陆桥、中国—中亚—西亚、中巴、孟中印缅、中蒙俄等重要廊道及澜湄合作机制下的区域教育合作交流。加强与有关国家语言人才培养合作，加快培养各类非通用语种人才。</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打造区域教育对外开放特色。支持东部地区整体提升教育对外开放水平，率先办出中国特色、世界水平的现代教育。加大政策倾斜力度，支持中西部地区、东北地区不断扩大教育对外开放的广度和深度。引导沿边地区利用地缘优势，推进与周边国家教育合作交流。</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522"/>
      </w:tblGrid>
      <w:tr w:rsidR="00B161C6" w:rsidRPr="00B161C6" w:rsidTr="002B5208">
        <w:trPr>
          <w:jc w:val="center"/>
        </w:trPr>
        <w:tc>
          <w:tcPr>
            <w:tcW w:w="85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b/>
                <w:bCs/>
                <w:color w:val="333333"/>
                <w:kern w:val="0"/>
                <w:sz w:val="20"/>
                <w:szCs w:val="20"/>
              </w:rPr>
              <w:t>专栏</w:t>
            </w:r>
            <w:r w:rsidRPr="00B161C6">
              <w:rPr>
                <w:rFonts w:ascii="Calibri" w:eastAsia="宋体" w:hAnsi="Calibri" w:cs="Calibri"/>
                <w:b/>
                <w:bCs/>
                <w:color w:val="333333"/>
                <w:kern w:val="0"/>
                <w:sz w:val="20"/>
                <w:szCs w:val="20"/>
              </w:rPr>
              <w:t>12</w:t>
            </w:r>
            <w:r w:rsidRPr="00B161C6">
              <w:rPr>
                <w:rFonts w:ascii="宋体" w:eastAsia="宋体" w:hAnsi="宋体" w:cs="Calibri" w:hint="eastAsia"/>
                <w:b/>
                <w:bCs/>
                <w:color w:val="333333"/>
                <w:kern w:val="0"/>
                <w:sz w:val="20"/>
                <w:szCs w:val="20"/>
              </w:rPr>
              <w:t xml:space="preserve">　推进共建“一带一路”教育行动</w:t>
            </w:r>
          </w:p>
        </w:tc>
      </w:tr>
      <w:tr w:rsidR="00B161C6" w:rsidRPr="00B161C6" w:rsidTr="002B5208">
        <w:trPr>
          <w:jc w:val="center"/>
        </w:trPr>
        <w:tc>
          <w:tcPr>
            <w:tcW w:w="85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 xml:space="preserve">　　在中国政府奖学金中设立“丝绸之路”项目。对接“一带一路”沿线国家和地区，遴选一批具备一定学科专业、国际交流和人才培养、国别研究基础的高校和职业学校，建设一批“一带一路”人才培养基地，专门培养高素质复合型人才，从“一带一路”沿线国家和地区高校吸引研究相关国家经济、文化、法律等领域的专家学者来华任教，开展“一带一路”国别教育、语言文字、经济、法律、文化、政策等决策咨询研究。实施“一带一路”建设外语非通用语种人才培养专项，支持具备条件的高校开设一批外语非通用语种新专业，培养外语非通用语种人才。</w:t>
            </w:r>
          </w:p>
        </w:tc>
      </w:tr>
    </w:tbl>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（二）提升教育开放层次和水平。</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lastRenderedPageBreak/>
        <w:t>提高留学教育质量。优化出国留学服务工作，健全留学人员信息化管理服务机制，完善留学人员管理服务体系。加强统筹规划，完善派遣政策，充分发挥国家公派留学对高端人才培养的调控补给作用，加快培养国家战略急需人才。实施留学中国计划，打造“留学中国”品牌。建立来华留学质量标准和保障体系，提高师资和课程的国际化水平，加强来华留学管理与监督，提升来华留学服务水平，稳步扩大来华留学规模。更好发挥中国政府奖学金的引领作用，创新奖学金管理模式，加强精英人群培养。做好来华留学校友工作。</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深化中外学校间交流与合作。支持有条件的中小学校与国外学校建立友好学校关系，开展多渠道对外文化教育交流，拓展国际视野。支持职业学校和应用型高校引进国（境）外高水平专家和优质课程资源，鼓励中外职业学校教师互派、学生互换。支持研究型大学与世界一流大学和学术机构开展高水平人才联合培养及科学联合攻关，依托优势学科举办高水平国际学术论坛，打造高端国际学术交流合作平台。完善高校教师和科研人员出国交流、国际会议、外事接待等管理制度，开展大中小学校长和骨干教师海外研修培训，鼓励支持教师更广泛更深入地参加国际学术交流与合作。</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提升中外合作办学质量。加强中外合作办学管理，完善准入制度，简化审批程序，完善评估认证，强化退出机制，加强信息公开，健全质量保障体系。建立合作办学成功经验共享机制，突出合作办学对学校教学改革的推动作用。重点围绕国家急需的自然科学与工程科学类专业建设，引进国外优质教育资源，建设一批示范性合作办学机构和项目，鼓励和支持职业学校与国外一流职业学校开展合作办学，培养高</w:t>
      </w:r>
      <w:r w:rsidRPr="002B5208">
        <w:rPr>
          <w:rFonts w:ascii="仿宋_GB2312" w:eastAsia="仿宋_GB2312" w:hAnsi="宋体" w:cs="宋体" w:hint="eastAsia"/>
          <w:color w:val="333333"/>
          <w:kern w:val="0"/>
          <w:sz w:val="32"/>
          <w:szCs w:val="32"/>
        </w:rPr>
        <w:lastRenderedPageBreak/>
        <w:t>水平技术技能人才，鼓励研究型大学与世界一流大学在优势学科领域合作举办非独立设置的二级学院，共建研究机构，建设一流学科，推动国内高校和职业学校提升办学水平。</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（三）积极参与全球教育治理。</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深化多边教育合作。推动与联合国教科文组织建立高层定期磋商机制，巩固提升合作水平。完善上海合作组织、亚太经合组织等多边教育部长会议机制，完善金砖国家教育合作机制，拓展亚太经合组织等平台的教育合作空间，以学分互认为重点，推动学生交流，深入参与相关多边教育行动。完善国际组织人才培养机制，有计划地培养推荐优秀人才到国际组织任职。</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深度参与国际教育规则制定。加强对各类国际重大教育规则的研究，充分利用国际组织平台，主动在全球教育发展议题上提出新主张、新倡议和新方案。创新方式，推广我国教育评估认证标准和教育改革发展的经验，强化我国在国际教育治理中的负责任形象。</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开展教育国际援助。进一步做好教育对外援助，重点投资于人、援助于人、惠及于人。统筹利用国家和民间资源，加快对外教育培训中心和教育援外基地建设，为发展中国家培养培训管理人员、教师、学者和各级各类技术技能人才。积极开展优质教学仪器设备、整体教学方案、配套师资培训一体化援助。结合我国对外援助项目，鼓励教师与青年学生到发展中国家参与项目建设和提供志愿者服务。</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（四）统筹推进中外人文交流。</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完善中外人文交流机制。发挥人文交流在国家对外工作大局中的支柱作用，深化中俄、中美、中英、中欧、中法、</w:t>
      </w:r>
      <w:r w:rsidRPr="002B5208">
        <w:rPr>
          <w:rFonts w:ascii="仿宋_GB2312" w:eastAsia="仿宋_GB2312" w:hAnsi="宋体" w:cs="宋体" w:hint="eastAsia"/>
          <w:color w:val="333333"/>
          <w:kern w:val="0"/>
          <w:sz w:val="32"/>
          <w:szCs w:val="32"/>
        </w:rPr>
        <w:lastRenderedPageBreak/>
        <w:t>中印尼人文交流，加强部门间协同，整合凝聚社会力量，打造一批中外人文交流品牌项目，推动形成机制多层次和区域全覆盖的人文交流良好格局。整合搭建政府间教育磋商、教育领域专业人士务实合作、教师学生友好往来平台。拓展政府间语言学习交换项目，联合更多国家开发语言互通共享课程，推进与世界各国语言互通，提升讲好中国故事、传播中国理念的能力。</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办好孔子学院。坚持相互尊重、友好协商、平等互利，完善孔子学院布局。大力加强中方合作院校支撑能力建设，建立健全汉语国际教育学科体系，着力打造一支高素质院长和教师专职队伍，大力培养各国本土汉语师资。办好孔子学院院长学院、示范孔子学院、网络孔子学院，鼓励中资机构、社会组织等参与孔子学院建设，不断提升孔子学院（课堂）的办学质量和水平。深入实施“孔子新汉学计划”，深化与世界各国语言文化交流，支持各国将汉语纳入本国国民教育体系，更加广泛地学习和使用汉语。</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（五）深化内地和港澳、大陆和台湾地区教育合作交流。</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完善内地和港澳教育合作与交流机制。支持港澳加强青少年学生中国历史文化和国情教育，加强内地与港澳在师资、课程、教材、教学、考试评价、督导等领域合作。积极创造条件大力吸引港澳学生到内地就学。提升内地与港澳教育交流合作水平，创新方式、扩大规模、加强利益关联、促进优势互补，推动内地和港澳教育共同发展。</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打造大陆和台湾地区教育合作交流平台。支持两岸教育工作者交流教育发展理念。加强学生交流互访。扩大两岸高</w:t>
      </w:r>
      <w:r w:rsidRPr="002B5208">
        <w:rPr>
          <w:rFonts w:ascii="仿宋_GB2312" w:eastAsia="仿宋_GB2312" w:hAnsi="宋体" w:cs="宋体" w:hint="eastAsia"/>
          <w:color w:val="333333"/>
          <w:kern w:val="0"/>
          <w:sz w:val="32"/>
          <w:szCs w:val="32"/>
        </w:rPr>
        <w:lastRenderedPageBreak/>
        <w:t>校学历互认范围。做好招收台湾学生来大陆学习和大陆学生赴台就学工作。完善两岸语言文字交流合作机制。</w:t>
      </w:r>
    </w:p>
    <w:p w:rsidR="00B161C6" w:rsidRPr="002B5208" w:rsidRDefault="00B161C6" w:rsidP="002B5208">
      <w:pPr>
        <w:widowControl/>
        <w:spacing w:line="520" w:lineRule="exact"/>
        <w:ind w:firstLineChars="200" w:firstLine="643"/>
        <w:rPr>
          <w:rFonts w:ascii="仿宋_GB2312" w:eastAsia="仿宋_GB2312" w:hAnsi="宋体" w:cs="宋体" w:hint="eastAsia"/>
          <w:color w:val="333333"/>
          <w:kern w:val="0"/>
          <w:sz w:val="32"/>
          <w:szCs w:val="32"/>
        </w:rPr>
      </w:pPr>
      <w:r w:rsidRPr="002B5208">
        <w:rPr>
          <w:rFonts w:ascii="仿宋_GB2312" w:eastAsia="仿宋_GB2312" w:hAnsi="宋体" w:cs="宋体" w:hint="eastAsia"/>
          <w:b/>
          <w:bCs/>
          <w:color w:val="333333"/>
          <w:kern w:val="0"/>
          <w:sz w:val="32"/>
          <w:szCs w:val="32"/>
        </w:rPr>
        <w:t>七、全面提升教育发展共享水平</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（一）打赢教育脱贫攻坚战。</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全面推进教育精准扶贫、精准脱贫。对接农村贫困人口建档立卡数据库，提高教育扶贫精准度，让贫困家庭子女都能接受公平有质量的教育，阻断贫困代际传递。进一步完善贫困县的教育扶持政策，相关教育项目优先支持贫困县。鼓励地方扩大营养改善计划试点范围，中央财政给予奖补支持，实现集中连片特困地区县、国家扶贫开发工作重点县全覆盖。免除公办普通高中建档立卡等家庭经济困难学生（含非建档立卡的家庭经济困难残疾学生、农村低保家庭学生、农村特困救助供养学生）学杂费，加大对贫困家庭大学生的资助力度。继续对农村和贫困地区学生接受高等教育给予倾斜，让更多困难家庭孩子能够受到良好教育，拥有更多上升通道。</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加大职业教育脱贫力度。启动实施职教圆梦行动计划，省级教育行政部门统筹协调国家示范和国家重点中职学校，选择就业好的专业，单列招生计划，针对建档立卡贫困家庭子女招生，确保至少掌握一门实用技能，提升贫困家庭自我发展的“造血”能力。实施中等职业教育协作计划，支持建档立卡贫困家庭初中毕业生到省（区、市）外经济较发达地区接受中等职业教育。</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强化教育对口支援。实施教育扶贫结对帮扶行动，推进省内城镇中小学、优质幼儿园对口帮扶农村中小学、幼儿园，实现每一所贫困地区学校都有对口支援学校。鼓励高水平大学尤其是东部高校扩大对口支援中西部高校范围，加强东部</w:t>
      </w:r>
      <w:r w:rsidRPr="002B5208">
        <w:rPr>
          <w:rFonts w:ascii="仿宋_GB2312" w:eastAsia="仿宋_GB2312" w:hAnsi="宋体" w:cs="宋体" w:hint="eastAsia"/>
          <w:color w:val="333333"/>
          <w:kern w:val="0"/>
          <w:sz w:val="32"/>
          <w:szCs w:val="32"/>
        </w:rPr>
        <w:lastRenderedPageBreak/>
        <w:t>职教集团和国家职业教育改革示范校对口帮扶集中连片特困地区职业学校。继续推进定点联系滇西边境山区工作。</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522"/>
      </w:tblGrid>
      <w:tr w:rsidR="00B161C6" w:rsidRPr="00B161C6" w:rsidTr="002B5208">
        <w:trPr>
          <w:jc w:val="center"/>
        </w:trPr>
        <w:tc>
          <w:tcPr>
            <w:tcW w:w="85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b/>
                <w:bCs/>
                <w:color w:val="333333"/>
                <w:kern w:val="0"/>
                <w:sz w:val="20"/>
                <w:szCs w:val="20"/>
              </w:rPr>
              <w:t>专栏</w:t>
            </w:r>
            <w:r w:rsidRPr="00B161C6">
              <w:rPr>
                <w:rFonts w:ascii="Calibri" w:eastAsia="宋体" w:hAnsi="Calibri" w:cs="Calibri"/>
                <w:b/>
                <w:bCs/>
                <w:color w:val="333333"/>
                <w:kern w:val="0"/>
                <w:sz w:val="20"/>
                <w:szCs w:val="20"/>
              </w:rPr>
              <w:t>13</w:t>
            </w:r>
            <w:r w:rsidRPr="00B161C6">
              <w:rPr>
                <w:rFonts w:ascii="宋体" w:eastAsia="宋体" w:hAnsi="宋体" w:cs="Calibri" w:hint="eastAsia"/>
                <w:b/>
                <w:bCs/>
                <w:color w:val="333333"/>
                <w:kern w:val="0"/>
                <w:sz w:val="20"/>
                <w:szCs w:val="20"/>
              </w:rPr>
              <w:t xml:space="preserve">　教育脱贫攻坚行动计划</w:t>
            </w:r>
          </w:p>
        </w:tc>
      </w:tr>
      <w:tr w:rsidR="00B161C6" w:rsidRPr="00B161C6" w:rsidTr="002B5208">
        <w:trPr>
          <w:jc w:val="center"/>
        </w:trPr>
        <w:tc>
          <w:tcPr>
            <w:tcW w:w="85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 xml:space="preserve">　　省级政府统筹学前教育资金向贫困县倾斜。支持各地</w:t>
            </w:r>
            <w:r w:rsidRPr="00B161C6">
              <w:rPr>
                <w:rFonts w:ascii="Calibri" w:eastAsia="宋体" w:hAnsi="Calibri" w:cs="Calibri"/>
                <w:color w:val="333333"/>
                <w:kern w:val="0"/>
                <w:sz w:val="20"/>
                <w:szCs w:val="20"/>
              </w:rPr>
              <w:t>2017</w:t>
            </w:r>
            <w:r w:rsidRPr="00B161C6">
              <w:rPr>
                <w:rFonts w:ascii="宋体" w:eastAsia="宋体" w:hAnsi="宋体" w:cs="Calibri" w:hint="eastAsia"/>
                <w:color w:val="333333"/>
                <w:kern w:val="0"/>
                <w:sz w:val="20"/>
                <w:szCs w:val="20"/>
              </w:rPr>
              <w:t>年底前完成贫困县全面改善农村义务教育薄弱学校基本办学条件任务。加快发展职业教育，因地制宜，分类推进，让贫困地区每个劳动者都有机会接受适应就业创业需求的职业教育和培训。实现家庭经济困难学生资助全覆盖。</w:t>
            </w:r>
          </w:p>
        </w:tc>
      </w:tr>
    </w:tbl>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（二）促进义务教育均衡优质发展。</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推动县域内均衡发展。加快推进县域内城乡义务教育学校建设标准统一、教师编制标准统一、生均公用经费基准定额统一、基本装备配置标准统一和“两免一补”政策城乡全覆盖，基本实现县域校际资源均衡配置。完善校长教师轮岗交流机制和保障机制，推进城乡校长教师交流轮岗制度化、常态化。推广集团化办学、强校带弱校、委托管理、学区制管理、学校联盟、九年一贯制学校等办学形式，加速扩大优质教育资源覆盖面，大力提升乡村及薄弱地区义务教育质量。在确保2020年全国基本实现县域内义务教育均衡发展的基础上，推动有条件的地区实现市域内均衡发展。</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缩小区域差距。省级政府加强统筹，缩小省域内义务教育发展水平差距。各地要因地制宜建立完善义务教育学校建设基本标准，科学推进城乡义务教育公办学校标准化建设，改善薄弱学校和寄宿制学校办学条件。严禁利用财政资金建设超标准豪华学校，杜绝政绩工程、形象工程。推动东中西部义务教育发展更加均衡，提高中西部地区义务教育质量和保障水平，缩小与东部发达地区的差距。</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巩固提高普及水平。着力提升辍学现象比较集中的农村、边远、贫困和民族地区教育质量。建立义务教育巩固率监测系统，全面落实控辍保学责任制，建立行政督促复学机制，推动政府、学校、家庭、福利机构、共青团组织和社区联保</w:t>
      </w:r>
      <w:r w:rsidRPr="002B5208">
        <w:rPr>
          <w:rFonts w:ascii="仿宋_GB2312" w:eastAsia="仿宋_GB2312" w:hAnsi="宋体" w:cs="宋体" w:hint="eastAsia"/>
          <w:color w:val="333333"/>
          <w:kern w:val="0"/>
          <w:sz w:val="32"/>
          <w:szCs w:val="32"/>
        </w:rPr>
        <w:lastRenderedPageBreak/>
        <w:t>联控。建立帮扶学习困难学生的责任制度，因地制宜促进农村初中普职教育融合，提供多种成长通道，妥善解决农村学生上学远和寄宿生家校往返交通问题。加大对贫困生帮扶力度，努力不让一个孩子掉队。加快实现义务教育学校管理标准化，整体提升义务教育质量。</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（三）加快发展学前教育。</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继续扩大普惠性学前教育资源，基本解决“入园难”问题。以区县为单位实施学前教育行动计划及后续行动。支持企事业单位和集体办园，扩大公办学前教育资源。完善普惠性民办幼儿园扶持政策，鼓励地方通过政府购买服务、补贴租金、培训教师等方式，加快民办普惠性幼儿园发展。发展0—3岁婴幼儿早期教育，探索建立以幼儿园和妇幼保健机构为依托，面向社区、指导家长的公益性婴幼儿早期教育服务模式。</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提高幼儿园保育教育质量。健全学前教育管理体制，强化省级政府的统筹责任，落实县级政府发展学前教育和幼儿园监管的主体责任。加大对贫困地区、民族地区学前教育薄弱环节的扶持力度。建立学前教育质量评估监管体系，落实《幼儿园工作规程》，加强对各类幼儿园准入、安全、师资、收费、卫生保健及质量等方面的日常指导和监管，落实信息公示制度，强化社会监督。着力提升学前教育教师、保育员素质。</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（四）普及高中阶段教育。</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巩固提高中等职业教育发展水平。在义务教育阶段开展职业启蒙教育。保持普通高中和中等职业教育招生规模大体相当，在中西部地区以中等职业教育为重点发展高中阶段教</w:t>
      </w:r>
      <w:r w:rsidRPr="002B5208">
        <w:rPr>
          <w:rFonts w:ascii="仿宋_GB2312" w:eastAsia="仿宋_GB2312" w:hAnsi="宋体" w:cs="宋体" w:hint="eastAsia"/>
          <w:color w:val="333333"/>
          <w:kern w:val="0"/>
          <w:sz w:val="32"/>
          <w:szCs w:val="32"/>
        </w:rPr>
        <w:lastRenderedPageBreak/>
        <w:t>育。加强中等职业教育基础能力建设，重点改善贫困地区和薄弱中等职业学校基本办学条件。调整优化资源配置，统筹办好一批中等职业学校。建立中等职业学校与普通高中统筹招生制度和统一招生平台，扩大优质中等职业学校招生的区域范围和招生规模。</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促进普通高中多样化发展。继续支持贫困地区和民族地区普通高中建设。探索综合高中、特色高中等多种模式，促进学校特色发展，为学生提供更多选择机会。推动地方适应高考制度改革和教学改革需要，加强普通高中办学条件和师资配置，确保开齐、开足、开好相关课程。推进普通高中学生发展指导制度建设。推动地方政府制定普通高中生均拨款标准，补足公办普通高中取消“三限生”（根据限分数、限人数、限钱数政策而录取的学生）政策后的经费缺口。对已纳入存量地方政府债务清理甄别结果的普通高中债务，按照地方政府债务管理政策予以偿还。</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（五）加快发展民族教育。</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加快提高民族地区教育发展水平。加快民族地区普惠性幼儿园建设，民族地区学前三年毛入园率达到70%以上。着力提高民族地区义务教育均衡发展水平，努力消除辍学现象。加快发展符合民族地区实际的中等职业教育，继续在四省藏区推行“9+3”中职免费教育模式，提高民族地区高中阶段教育普及水平。改善民族地区职业学校办学条件，扶持发展民族优秀传统文化、现代农牧业等特色优势专业。适当提高东中部省市职业学校招收民族地区学生的比例。积极支持民族地区优化高等学校布局，提高高等学校办学水平，鼓励支持民族地区和东中部省市双向扩大高校招生规模，扩大高等</w:t>
      </w:r>
      <w:r w:rsidRPr="002B5208">
        <w:rPr>
          <w:rFonts w:ascii="仿宋_GB2312" w:eastAsia="仿宋_GB2312" w:hAnsi="宋体" w:cs="宋体" w:hint="eastAsia"/>
          <w:color w:val="333333"/>
          <w:kern w:val="0"/>
          <w:sz w:val="32"/>
          <w:szCs w:val="32"/>
        </w:rPr>
        <w:lastRenderedPageBreak/>
        <w:t>教育入学机会。鼓励在民族地区的中央企业和对口援建项目吸纳当地普通高校、职业学校少数民族毕业生就业。继续做好教育对口支援新疆、西藏和四省藏区工作。对南疆等教育基础薄弱的民族地区给予特殊支持。</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科学稳妥推行双语教育。加强民族地区国家通用语言文字教育，确保少数民族学生基本掌握和使用国家通用语言文字，提高少数民族语言文字教学水平，鼓励民族地区汉族师生学习少数民族语言文字，鼓励各少数民族师生之间相互学习语言文字。研究完善双语教师任职条件和评价标准。支持双语教师培养培训、教学研究、教材开发和出版，加强对少数民族文字教材的指导监管。建立健全双语教育督导评估和监测机制。</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办好内地民族班。进一步加强内地民族班建设，改善办学条件。强化管理服务，探索推进混班教学、混合住宿，在内地民族班开展“走班制”等多种教学管理模式试点，促进内地民族班学生尽快融入当地学习、生活，严格考核标准，完善淘汰机制，不断提高内地民族班办学水平。</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522"/>
      </w:tblGrid>
      <w:tr w:rsidR="00B161C6" w:rsidRPr="00B161C6">
        <w:trPr>
          <w:jc w:val="center"/>
        </w:trPr>
        <w:tc>
          <w:tcPr>
            <w:tcW w:w="90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ind w:firstLineChars="200" w:firstLine="402"/>
              <w:jc w:val="center"/>
              <w:rPr>
                <w:rFonts w:ascii="Calibri" w:eastAsia="宋体" w:hAnsi="Calibri" w:cs="Calibri"/>
                <w:color w:val="333333"/>
                <w:kern w:val="0"/>
                <w:szCs w:val="21"/>
              </w:rPr>
            </w:pPr>
            <w:r w:rsidRPr="00B161C6">
              <w:rPr>
                <w:rFonts w:ascii="宋体" w:eastAsia="宋体" w:hAnsi="宋体" w:cs="Calibri" w:hint="eastAsia"/>
                <w:b/>
                <w:bCs/>
                <w:color w:val="333333"/>
                <w:kern w:val="0"/>
                <w:sz w:val="20"/>
                <w:szCs w:val="20"/>
              </w:rPr>
              <w:t>专栏</w:t>
            </w:r>
            <w:r w:rsidRPr="00B161C6">
              <w:rPr>
                <w:rFonts w:ascii="Calibri" w:eastAsia="宋体" w:hAnsi="Calibri" w:cs="Calibri"/>
                <w:b/>
                <w:bCs/>
                <w:color w:val="333333"/>
                <w:kern w:val="0"/>
                <w:sz w:val="20"/>
                <w:szCs w:val="20"/>
              </w:rPr>
              <w:t>14</w:t>
            </w:r>
            <w:r w:rsidRPr="00B161C6">
              <w:rPr>
                <w:rFonts w:ascii="宋体" w:eastAsia="宋体" w:hAnsi="宋体" w:cs="Calibri" w:hint="eastAsia"/>
                <w:b/>
                <w:bCs/>
                <w:color w:val="333333"/>
                <w:kern w:val="0"/>
                <w:sz w:val="20"/>
                <w:szCs w:val="20"/>
              </w:rPr>
              <w:t xml:space="preserve">　支持民族教育发展</w:t>
            </w:r>
          </w:p>
        </w:tc>
      </w:tr>
      <w:tr w:rsidR="00B161C6" w:rsidRPr="00B161C6">
        <w:trPr>
          <w:jc w:val="center"/>
        </w:trPr>
        <w:tc>
          <w:tcPr>
            <w:tcW w:w="90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ind w:firstLineChars="200" w:firstLine="400"/>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 xml:space="preserve">　　加强双语教师培养培训，建设一批双语教师培养培训基地，通过特岗计划、定向培养、引导内地民族班高校毕业生到农村中小学担任双语教师等方式，补充新疆、西藏、四省藏区双语教师。加强少数民族高端人才培养，培养一批政治素质高、学术造诣深、具有国际影响力和话语权的少数民族优秀人才。落实少数民族高层次骨干人才培养计划，相关工程计划向民族地区倾斜。继续办好内地民族班，加强教育督导评估和质量监测，健全与双语教学配套的升学、考试等政策措施。办好民族院校。</w:t>
            </w:r>
          </w:p>
        </w:tc>
      </w:tr>
    </w:tbl>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（六）保障困难群体受教育权利。</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办好特殊教育。继续实施好特殊教育提升计划，完善特殊教育学校布局。完善随班就读支持保障政策体系，重点支持贫困地区和农村地区普通中小学开展随班就读，推行融合教育。以区县为单位，精准施策，全面普及残疾儿童少年义务教育。推动特殊教育学校和残疾儿童康复机构积极创造条</w:t>
      </w:r>
      <w:r w:rsidRPr="002B5208">
        <w:rPr>
          <w:rFonts w:ascii="仿宋_GB2312" w:eastAsia="仿宋_GB2312" w:hAnsi="宋体" w:cs="宋体" w:hint="eastAsia"/>
          <w:color w:val="333333"/>
          <w:kern w:val="0"/>
          <w:sz w:val="32"/>
          <w:szCs w:val="32"/>
        </w:rPr>
        <w:lastRenderedPageBreak/>
        <w:t>件，开展残疾儿童学前教育。加快发展以职业教育为主的残疾人高中阶段教育。为家庭经济困难的残疾儿童和残疾青少年提供包括义务教育、高中阶段教育在内的12年免费教育。完善高等学校和职业学校招收残疾学生政策。逐步健全特殊教育课程教材体系、学校基本办学标准。实行轻中度残疾学生随班就读，中重度残疾学生在特教学校就读，为极重度残疾学生送教上门。促进教育与康复相结合，注重残疾学生潜能开发和缺陷补偿，强化职业素养和职业技能培养，加强残疾学生专业学习、就业等方面支持保障服务，促进残疾学生更好融入社会。</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实现家庭经济困难学生资助全覆盖。健全更加精准的教育资助体系，确保应助尽助。建立健全以学籍为基础的全国学生资助信息管理系统，加强与人口、民政、扶贫等部门信息系统的对接。根据经济发展水平和财力状况，适时调整资助标准。优先保障特殊困难群体。逐步分类推进中等职业教育免除学杂费。不断完善国家助学金制度和助学贷款政策。</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做好随迁子女教育工作。将进城务工人员随迁子女教育纳入城镇发展规划和财政保障范围。实行“两免一补”资金和生均公用经费基准定额资金随学生流动可携带。适应户籍制度改革要求，推动建立以居住证为主要依据的随迁子女入学办法，简化优化入学办理流程和证件要求，保障符合条件的随迁子女都能在公办学校或政府购买服务的民办学校就学，特大城市和随迁子女特别集中的地方可根据实际制定随迁子女入学的具体办法。实行混合编班和统一管理，帮助随迁子女融入学校和社区。进一步完善随迁子女接受义务教育后在流入地参加升学考试的政策措施。</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lastRenderedPageBreak/>
        <w:t>加强对留守儿童的关爱保护。健全服务体系，突出关爱重点，建立台账，掌握情况，实行更加人性化、精细化的服务政策，重点加强对无人监护和双亲在外留守儿童的关心、照顾和救助。加大学校教育关爱力度，建立学校校长、教师联系帮扶校内农村留守儿童的机制。明确强化家庭和家长的法定教育责任，鼓励父母取得居住证的适龄儿童随父母在工作地入学。加强寄宿制学校建设，进一步改善学习生活条件，创新关爱与教育形式，加强心理辅导、法治教育和安全教育。</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（七）大力促进高校毕业生就业创业。</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实施高校毕业生就业创业促进计划。加强对毕业生的思想教育和就业引导，围绕国家重大发展战略拓宽就业渠道，引导鼓励毕业生面向基层就业和自主创业，做好基层就业项目、大学生征兵和大学生志愿服务西部计划等重点工作。进一步完善就业创业服务体系，充分利用“互联网+就业”新模式，建立精准就业服务机制，提高高校就业创业指导水平和服务能力。进一步加大对就业困难毕业生帮扶力度，重点帮助家庭经济困难、少数民族、农村生源、残疾毕业生等各类就业困难群体就业创业，实现更加充分更高质量的就业创业。</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522"/>
      </w:tblGrid>
      <w:tr w:rsidR="00B161C6" w:rsidRPr="00B161C6" w:rsidTr="002B5208">
        <w:trPr>
          <w:jc w:val="center"/>
        </w:trPr>
        <w:tc>
          <w:tcPr>
            <w:tcW w:w="85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b/>
                <w:bCs/>
                <w:color w:val="333333"/>
                <w:kern w:val="0"/>
                <w:sz w:val="20"/>
                <w:szCs w:val="20"/>
              </w:rPr>
              <w:t>专栏</w:t>
            </w:r>
            <w:r w:rsidRPr="00B161C6">
              <w:rPr>
                <w:rFonts w:ascii="Calibri" w:eastAsia="宋体" w:hAnsi="Calibri" w:cs="Calibri"/>
                <w:b/>
                <w:bCs/>
                <w:color w:val="333333"/>
                <w:kern w:val="0"/>
                <w:sz w:val="20"/>
                <w:szCs w:val="20"/>
              </w:rPr>
              <w:t>15</w:t>
            </w:r>
            <w:r w:rsidRPr="00B161C6">
              <w:rPr>
                <w:rFonts w:ascii="宋体" w:eastAsia="宋体" w:hAnsi="宋体" w:cs="Calibri" w:hint="eastAsia"/>
                <w:b/>
                <w:bCs/>
                <w:color w:val="333333"/>
                <w:kern w:val="0"/>
                <w:sz w:val="20"/>
                <w:szCs w:val="20"/>
              </w:rPr>
              <w:t xml:space="preserve">　提升基本公共教育服务能力</w:t>
            </w:r>
          </w:p>
        </w:tc>
      </w:tr>
      <w:tr w:rsidR="00B161C6" w:rsidRPr="00B161C6" w:rsidTr="002B5208">
        <w:trPr>
          <w:jc w:val="center"/>
        </w:trPr>
        <w:tc>
          <w:tcPr>
            <w:tcW w:w="85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 xml:space="preserve">　　以中西部地区、贫困地区和民族地区为重点，补齐基本公共教育服务短板。加强普惠性幼儿园建设，重点保障中西部农村适龄儿童和实施全面两孩政策新增适龄儿童入园需求。加强义务教育学校标准化建设，全面改善贫困地区义务教育薄弱学校基本办学条件，逐步实现未达标城乡义务教育学校校舍、场所的标准化，重点支持革命老区、民族地区、边疆地区和集中连片特困地区。实施高中阶段教育普及攻坚，在中西部集中连片特困县、国家扶贫开发工作重点县、民族地区县、革命老区县新建、改扩建一批办学条件达标的普通高中和中等职业学校，增加高中阶段教育资源。</w:t>
            </w:r>
            <w:r w:rsidRPr="00B161C6">
              <w:rPr>
                <w:rFonts w:ascii="Calibri" w:eastAsia="宋体" w:hAnsi="Calibri" w:cs="Calibri"/>
                <w:color w:val="333333"/>
                <w:kern w:val="0"/>
                <w:sz w:val="20"/>
                <w:szCs w:val="20"/>
              </w:rPr>
              <w:t>30</w:t>
            </w:r>
            <w:r w:rsidRPr="00B161C6">
              <w:rPr>
                <w:rFonts w:ascii="宋体" w:eastAsia="宋体" w:hAnsi="宋体" w:cs="Calibri" w:hint="eastAsia"/>
                <w:color w:val="333333"/>
                <w:kern w:val="0"/>
                <w:sz w:val="20"/>
                <w:szCs w:val="20"/>
              </w:rPr>
              <w:t>万人口以下未建设特殊教育学校的县可根据实际需要支持接收随班就读残疾学生较多的普通学校设立特殊教育资源教室（中心）。鼓励有条件的地区试点建设孤独症儿童少年特殊教育学校（部）。依托现有特殊教育和职业教育资源，每个省（区、市）集中力量办好至少一所面向全省（区、市）招生的残疾人中等职业学校、一所盲生高中、一所聋生高中。支持招收残疾学生较多的普通学校建设资源教室，扩大特殊教育规模。</w:t>
            </w:r>
          </w:p>
        </w:tc>
      </w:tr>
    </w:tbl>
    <w:p w:rsidR="00B161C6" w:rsidRPr="002B5208" w:rsidRDefault="00B161C6" w:rsidP="002B5208">
      <w:pPr>
        <w:widowControl/>
        <w:spacing w:line="520" w:lineRule="exact"/>
        <w:ind w:firstLineChars="200" w:firstLine="643"/>
        <w:rPr>
          <w:rFonts w:ascii="仿宋_GB2312" w:eastAsia="仿宋_GB2312" w:hAnsi="宋体" w:cs="宋体" w:hint="eastAsia"/>
          <w:color w:val="333333"/>
          <w:kern w:val="0"/>
          <w:sz w:val="32"/>
          <w:szCs w:val="32"/>
        </w:rPr>
      </w:pPr>
      <w:r w:rsidRPr="002B5208">
        <w:rPr>
          <w:rFonts w:ascii="仿宋_GB2312" w:eastAsia="仿宋_GB2312" w:hAnsi="宋体" w:cs="宋体" w:hint="eastAsia"/>
          <w:b/>
          <w:bCs/>
          <w:color w:val="333333"/>
          <w:kern w:val="0"/>
          <w:sz w:val="32"/>
          <w:szCs w:val="32"/>
        </w:rPr>
        <w:t>八、着力加强教师队伍建设</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lastRenderedPageBreak/>
        <w:t>（一）加强师德师风建设。</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落实大中小学师德师风建设长效机制。坚持教书和育人相统一、言传和身教相统一、潜心问道和关注社会相统一、学术自由和学术规范相统一，引导广大教师以德立身、以德立学、以德施教。开展多种形式的师德教育，把教师职业理想、职业道德、法治、心理健康等教育融入培养、培训和管理的全过程，推动各地各校出台具体的实施细则和办法，构筑覆盖各级各类学校的师德建设制度网络，推动学校针对师德建设突出问题开展自查自纠，学校领导干部带头，全面加强教师队伍学风、教风、作风建设，努力建设一支有理想信念、有道德情操、有扎实学识、有仁爱之心的教师队伍。</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加强教师思想政治工作。创新工作手段和载体，开辟思想教育新阵地，抓好骨干教师和学科带头人培训，组织广大教师开展多种形式的社会实践活动，了解国情、社情、民情，引导广大教师带头践行社会主义核心价值观，增进对中国特色社会主义的思想认同、政治认同、理论认同和情感认同。加大对新入职教师、海外留学归国教师的国情国史教育力度。大力宣传和表彰优秀教师、师德标兵，提升教师职业的崇高感和荣誉感。</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完善师德师风考评监督机制。将师德师风建设作为学校工作考核和教育质量督导评估的重要内容，把师德师风表现作为教师考评的首要内容，建立个人自评、学生测评、同事互评、单位考评等多种形式相结合的考核机制，构建学校、教师、学生、家长和社会多方参与的师德师风监督体系。完善师德表彰奖励制度，将师德表现作为评奖评优的首要条件。依法依规加大对各类违反师德和学术不端行为的查处力度，</w:t>
      </w:r>
      <w:r w:rsidRPr="002B5208">
        <w:rPr>
          <w:rFonts w:ascii="仿宋_GB2312" w:eastAsia="仿宋_GB2312" w:hAnsi="宋体" w:cs="宋体" w:hint="eastAsia"/>
          <w:color w:val="333333"/>
          <w:kern w:val="0"/>
          <w:sz w:val="32"/>
          <w:szCs w:val="32"/>
        </w:rPr>
        <w:lastRenderedPageBreak/>
        <w:t>对考核不合格的教师在职称评审、岗位聘用、评优奖励等环节实行一票否决制，将表现恶劣的清除出教师队伍。建立师德事件及舆情快速反应机制，及时掌握师德师风信息动态，及时纠正不良倾向和问题。</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（二）提升教师能力素质。</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推进教师教育综合改革。加强教师教育体系建设，办好一批师范院校和师范专业，改进教师培养机制、模式、课程，探索建立教师教育质量监测评估制度。做好师范类专业认证试点工作。完善高校、地方政府、中小学“三位一体”的协同育人机制，加强师范生教育实践和教师教育师资队伍建设。全面推动教师教育改革创新，着力提高教师培养质量。继续实施卓越教师培养计划，扩大教育硕士招生规模，培养高层次中小学和中等职业学校教师。</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完善教师校长培训体系。落实中小学教师校长五年一周期不少于360学时的全员培训制度，实施新一周期教师校长全员培训。建立培训学分与教师管理结合机制，构建教师校长培训学分银行，加强教师校长网络研修社区建设。加强县级教师培训机构能力建设，整合高等学校、县级教师发展中心和中小学校优质资源，建立中小学教师校长专业发展支持服务体系。加强职业学校“双师型”教师队伍建设，组织专业课教师定期参加企业实践，完善校企共建“双师型”教师培养培训体系。推进高校青年教师专业发展，加强新入职教师岗前培训，建立健全高校教师继续教育与培训制度，重点提高教育教学能力。加强特殊教育教师培养，提高特殊教育教师教育教学能力。健全和强化各级各类学校教研制度和机构，加强教研队伍建设，发挥教学名师和优秀教师的示范引</w:t>
      </w:r>
      <w:r w:rsidRPr="002B5208">
        <w:rPr>
          <w:rFonts w:ascii="仿宋_GB2312" w:eastAsia="仿宋_GB2312" w:hAnsi="宋体" w:cs="宋体" w:hint="eastAsia"/>
          <w:color w:val="333333"/>
          <w:kern w:val="0"/>
          <w:sz w:val="32"/>
          <w:szCs w:val="32"/>
        </w:rPr>
        <w:lastRenderedPageBreak/>
        <w:t>领作用，鼓励青年教师参与教学团队、创新团队。开展教师信息化教育教学培训，提高教师和管理人员信息技术应用能力。全面开展依法治教和教育信息化领导力培训，提升校长和教育行政管理人员现代教育治理的意识和能力素养。注重专业培训，提高少先队辅导员和大学辅导员队伍工作水平。</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培养造就教学名师。在国家和省两级认定一批教学名师，鼓励教学名师交流讲学，在全国各地带动造就一大批高水平教学人才。吸引优秀教师到中西部农村任教。鼓励教师在实践中大胆探索，创新教育模式和教育方法，形成教学特色，造就一批教育家。</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（三）吸引一流人才从教。</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吸引优秀毕业生从教。完善师范院校提前批次录取的办法。完善免费师范生制度体系，吸引优秀学生读师范当老师。鼓励重点高校为非师范专业学生提供教师教育课程服务，畅通非师范专业毕业生从教通道。落实完善毕业生到乡村学校服务的学费代偿政策，吸引优秀毕业生到中小学和中等职业学校特别是农村学校任教。</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大力引进行业企业一流人才。允许高校和职业学校设立一定比例的流动岗位，吸引具有创新实践经验的企业家、高科技人才及各类高级专业人才兼职任教。鼓励应用型高校和职业学校聘请具有实践经验的专业技术人员、高技能人才、民族民间文化传承人担任兼职教师或专业带头人。力争到2020年，应用型高校和职业学校有一大批行业企业认可的领军人才。</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建设高校一流人才队伍。加快推进人才发展体制机制改革，优化人才发展环境，充分激发人才创新创业活力。落实</w:t>
      </w:r>
      <w:r w:rsidRPr="002B5208">
        <w:rPr>
          <w:rFonts w:ascii="仿宋_GB2312" w:eastAsia="仿宋_GB2312" w:hAnsi="宋体" w:cs="宋体" w:hint="eastAsia"/>
          <w:color w:val="333333"/>
          <w:kern w:val="0"/>
          <w:sz w:val="32"/>
          <w:szCs w:val="32"/>
        </w:rPr>
        <w:lastRenderedPageBreak/>
        <w:t>好“千人计划”、“万人计划”等重大人才工程，深入实施“长江学者奖励计划”。改进人才培养支持机制，大力培养引进学科领军人才、高层次科技创新人才和青年拔尖人才。实行更积极、更开放、更有效的人才引进政策，对国家急需紧缺的特殊人才，开辟专门渠道，实行特殊政策，实现精准引进。完善引才配套政策，解决引进人才的任职、社会保障、户籍、子女教育等问题。配合外国人永久居留制度改革，健全外籍教师资格认证、服务管理等制度。加大对中西部地区、人文社科领域和青年人才支持力度。</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培养造就一支高素质学校领导人员队伍。坚持党管干部原则，坚持德才兼备、以德为先的用人标准，充分结合学校特点，遵循领导人员成长规律，选拔任用讲政治、懂教育、善管理、敢担当、作风正的优秀人才担任学校领导班子成员。出台高等学校领导人员管理暂行办法，严格任职资格条件，健全选拔任用制度，拓展选人用人视野；加强领导人员培养教育和后备人才队伍建设，统筹推进交流，完善激励保障机制，加强人文关怀，造就一批国内外知名的大学校长和教育家。出台中小学校领导人员管理暂行办法，明确任职资格条件，规范选拔任用工作，完善考核评价机制，加强激励保障，建立和推行中小学校长职级制；支持学校领导人员依法依规履行职责，鼓励在实践中大胆探索创新，形成教学特色和办学风格，造就一批优秀中小学校长和教育家。</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（四）优化教师资源配置。</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加强乡村教师队伍建设。推动省级政府建立统筹规划、统一选拔的乡村教师补充机制。逐步扩大农村教师特岗计划实施规模，鼓励地方政府和师范院校加强本土化培养，采取</w:t>
      </w:r>
      <w:r w:rsidRPr="002B5208">
        <w:rPr>
          <w:rFonts w:ascii="仿宋_GB2312" w:eastAsia="仿宋_GB2312" w:hAnsi="宋体" w:cs="宋体" w:hint="eastAsia"/>
          <w:color w:val="333333"/>
          <w:kern w:val="0"/>
          <w:sz w:val="32"/>
          <w:szCs w:val="32"/>
        </w:rPr>
        <w:lastRenderedPageBreak/>
        <w:t>多种方式定向培养“一专多能”的乡村教师。探索建立新聘教师农村学校任教服务期制度，将在乡村学校或薄弱学校任教经历作为城镇中小学教师晋升高级教师的必要条件。鼓励支持教学效果好、身体健康的退休特级教师、高级教师到乡村学校支教讲学。推动地方实行城乡统一的中小学教职工编制标准，对村小学和教学点采取生师比和班师比相结合的方式核定教职工编制。全面落实集中连片特困地区乡村教师生活补助政策，依据学校艰苦边远程度实行差别化的补助标准。建立乡村教师荣誉制度，对长期在乡村学校任教的优秀教师按照国家有关规定进行表彰。</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加快补充紧缺教师。推动落实幼儿园教职工配备标准，建立幼儿园教师动态补充机制，并鼓励通过政府购买岗位等方式解决幼儿园教师和保育员、保健员短缺问题，着力补足配齐幼儿园教职工。实行义务教育教师编制城乡、区域统筹和动态管理，县级教育行政部门在核定的教职工编制总额和岗位总量内，按照班额、生源等情况，充分考虑乡村小规模学校、寄宿制学校和城镇学校的实际需要，统筹分配各校教职工编制和岗位数量，并报同级机构编制部门和财政部门备案，着力解决乡村教师结构性缺员和城镇师资不足问题。配齐特殊教育教师。根据职业教育特点核定公办职业学校教职工编制，引导地方采取多种方式定向培养，加大贫困地区中等职业学校教师队伍补充力度。面向人才培养结构调整需要，优化高等学校教师结构，鼓励高等学校加大聘用具有其他学校学习工作和行业企业工作经历教师的力度。</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（五）完善教师管理制度。</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lastRenderedPageBreak/>
        <w:t>严格教师职业准入。健全教师专业标准，明确师德和心理健康要求，完善教师资格制度。依照科学合理、分类指导原则，依法实施中小学教师资格考试制度，进行中小学教师定期登记。幼儿园新入职教师须取得幼儿园教师资格证，深化义务教育阶段教师“县管校聘”管理改革，探索将行业企业从业经历作为取得职业学校专业课教师资格的必要条件，将新入职教师岗前培训和教学实习作为取得高等学校教师资格的必备条件。</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完善教师职称制度。实行教师职称评审与岗位聘用相结合的办法，全面推开中小学教师职务（职称）制度改革，在中小学设置正高级教师职务（职称），推进中等职业学校教师职务（职称）制度改革，探索在中等职业学校设置正高级职务（职称）。建立具有职业教育特点的职业学校职务（职称）评审制度。畅通民办学校教师申报参加职务（职称）评审渠道。</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改进教师考核评价制度。加快研制各级各类教师队伍建设标准。建立符合大中小学教师岗位特点的评价机制，深入推进高校教师考核评价制度改革，坚持德才兼备，以实际能力为衡量标准，注重凭能力、实绩和贡献评价人才，克服唯学历、唯职称、唯论文等倾向，引导高校教师潜心教书育人，围绕国家战略需求开展科学研究。</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522"/>
      </w:tblGrid>
      <w:tr w:rsidR="00B161C6" w:rsidRPr="00B161C6" w:rsidTr="002B5208">
        <w:trPr>
          <w:jc w:val="center"/>
        </w:trPr>
        <w:tc>
          <w:tcPr>
            <w:tcW w:w="85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jc w:val="center"/>
              <w:rPr>
                <w:rFonts w:ascii="Calibri" w:eastAsia="宋体" w:hAnsi="Calibri" w:cs="Calibri"/>
                <w:color w:val="333333"/>
                <w:kern w:val="0"/>
                <w:szCs w:val="21"/>
              </w:rPr>
            </w:pPr>
            <w:r w:rsidRPr="00B161C6">
              <w:rPr>
                <w:rFonts w:ascii="宋体" w:eastAsia="宋体" w:hAnsi="宋体" w:cs="Calibri" w:hint="eastAsia"/>
                <w:b/>
                <w:bCs/>
                <w:color w:val="333333"/>
                <w:kern w:val="0"/>
                <w:sz w:val="20"/>
                <w:szCs w:val="20"/>
              </w:rPr>
              <w:t>专栏</w:t>
            </w:r>
            <w:r w:rsidRPr="00B161C6">
              <w:rPr>
                <w:rFonts w:ascii="Calibri" w:eastAsia="宋体" w:hAnsi="Calibri" w:cs="Calibri"/>
                <w:b/>
                <w:bCs/>
                <w:color w:val="333333"/>
                <w:kern w:val="0"/>
                <w:sz w:val="20"/>
                <w:szCs w:val="20"/>
              </w:rPr>
              <w:t>16</w:t>
            </w:r>
            <w:r w:rsidRPr="00B161C6">
              <w:rPr>
                <w:rFonts w:ascii="宋体" w:eastAsia="宋体" w:hAnsi="宋体" w:cs="Calibri" w:hint="eastAsia"/>
                <w:b/>
                <w:bCs/>
                <w:color w:val="333333"/>
                <w:kern w:val="0"/>
                <w:sz w:val="20"/>
                <w:szCs w:val="20"/>
              </w:rPr>
              <w:t xml:space="preserve">　加强教师队伍建设</w:t>
            </w:r>
          </w:p>
        </w:tc>
      </w:tr>
      <w:tr w:rsidR="00B161C6" w:rsidRPr="00B161C6" w:rsidTr="002B5208">
        <w:trPr>
          <w:jc w:val="center"/>
        </w:trPr>
        <w:tc>
          <w:tcPr>
            <w:tcW w:w="85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61C6" w:rsidRPr="00B161C6" w:rsidRDefault="00B161C6" w:rsidP="002B5208">
            <w:pPr>
              <w:widowControl/>
              <w:spacing w:line="0" w:lineRule="atLeast"/>
              <w:rPr>
                <w:rFonts w:ascii="Calibri" w:eastAsia="宋体" w:hAnsi="Calibri" w:cs="Calibri"/>
                <w:color w:val="333333"/>
                <w:kern w:val="0"/>
                <w:szCs w:val="21"/>
              </w:rPr>
            </w:pPr>
            <w:r w:rsidRPr="00B161C6">
              <w:rPr>
                <w:rFonts w:ascii="宋体" w:eastAsia="宋体" w:hAnsi="宋体" w:cs="Calibri" w:hint="eastAsia"/>
                <w:color w:val="333333"/>
                <w:kern w:val="0"/>
                <w:sz w:val="20"/>
                <w:szCs w:val="20"/>
              </w:rPr>
              <w:t xml:space="preserve">　　落实乡村教师支持计划，努力造就一支素质优良、甘于奉献、扎根乡村的教师队伍。继续实施“国培计划”，集中支持中西部乡村教师校长培训。实施中西部中小学首席教师岗位计划，遴选师德高尚、教学水平高、带动能力强的优秀教师，组织开展教育教学研究，带动当地教师整体水平提升。建设乡村教师周转宿舍，保障农村特岗教师、支教交流教师、农村寄宿制学校管理教师等必要的住宿生活条件。加强贫困地区中等职业学校教师补充，引导地方采取多种方式定向培养。加快高校高层次人才队伍建设。</w:t>
            </w:r>
          </w:p>
        </w:tc>
      </w:tr>
    </w:tbl>
    <w:p w:rsidR="00B161C6" w:rsidRPr="002B5208" w:rsidRDefault="00B161C6" w:rsidP="002B5208">
      <w:pPr>
        <w:widowControl/>
        <w:spacing w:line="520" w:lineRule="exact"/>
        <w:ind w:firstLineChars="200" w:firstLine="643"/>
        <w:rPr>
          <w:rFonts w:ascii="仿宋_GB2312" w:eastAsia="仿宋_GB2312" w:hAnsi="宋体" w:cs="宋体" w:hint="eastAsia"/>
          <w:color w:val="333333"/>
          <w:kern w:val="0"/>
          <w:sz w:val="32"/>
          <w:szCs w:val="32"/>
        </w:rPr>
      </w:pPr>
      <w:r w:rsidRPr="002B5208">
        <w:rPr>
          <w:rFonts w:ascii="仿宋_GB2312" w:eastAsia="仿宋_GB2312" w:hAnsi="宋体" w:cs="宋体" w:hint="eastAsia"/>
          <w:b/>
          <w:bCs/>
          <w:color w:val="333333"/>
          <w:kern w:val="0"/>
          <w:sz w:val="32"/>
          <w:szCs w:val="32"/>
        </w:rPr>
        <w:t>九、加快推进教育治理现代化</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（一）推进政府职能转变。</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lastRenderedPageBreak/>
        <w:t>深化教育行政审批制度改革。建立教育行政权力清单和责任清单制度，全面公开教育及相关政府部门职能、法律依据、实施主体、职责权限、管理流程、监督方式等事项。减少教育行政审批事项，对保留的教育行政审批要简化程序，加强信息公开，方便基层和群众办事。强化事中事后监管。严格控制对各级各类学校的项目评审、教育评估、人才评价和检查事项，强化服务功能。</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优化政府服务。努力为学校提供必要的专业性指导和服务，重点加强教学指导、教师培训、基建保障、校园安全纠纷调处、就业信息、质量监测评估诊断、教育涉外机构信息、教育教学基本资源等方面服务，积极探索为学校、教师、学生服务的新途径、新方式。</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健全民主决策机制。把公众参与、专家论证、风险评估、合法性审查、集体讨论决定作为重大教育决策法定程序。充分发挥国家教育咨询委员会作用。多形式多渠道听取公众和社会各界对重大教育决策的意见建议。建立科研咨询支撑行政决策的机制，加强教育智库建设，提升教育科研水平，强化教育政策储备研究。</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（二）构建有效监管体系。</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加强教育标准工作。完善教育标准研制、审定、复审机制。加快完善国家教育标准体系，完善各级各类学校教育质量标准，健全各级各类学校建设、教育装备、教师队伍建设、教育投入、教育信息化、教育督导、学校运行、语言文字等标准。推进教育标准实施和监督。</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完善教育质量监测制度。健全国家教育质量评估监测机构，继续实施国家义务教育质量监测。探索建立学前教育、</w:t>
      </w:r>
      <w:r w:rsidRPr="002B5208">
        <w:rPr>
          <w:rFonts w:ascii="仿宋_GB2312" w:eastAsia="仿宋_GB2312" w:hAnsi="宋体" w:cs="宋体" w:hint="eastAsia"/>
          <w:color w:val="333333"/>
          <w:kern w:val="0"/>
          <w:sz w:val="32"/>
          <w:szCs w:val="32"/>
        </w:rPr>
        <w:lastRenderedPageBreak/>
        <w:t>特殊教育质量监测评价体系。鼓励行业企业根据职业技能标准开展职业教育质量监测，分行业定期对职业教育质量进行监测评估，建立健全职业教育质量保障体系。逐步扩大工程、医学等高等教育认证范围。分类开展普通高等学校教育教学评估工作。完善研究生教育质量评估，继续做好博士、硕士学位论文抽检，完善学位点淘汰退出机制，严肃处理论文造假行为。探索学校根据标准自定规则程序、政府监管落实情况的机制。建立基于大数据分析的质量监测机制。强化监管结果运用，建立公开承诺、权责一体、违者退出的机制。</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进一步完善教育督导制度。完善督政、督学、评估监测制度体系。依法健全教育督导机构，完善督学资格准入、持证履职、聘任考核、聘期管理等制度，强化教育督导队伍建设。加强学校视导员队伍建设，建立地方政府履行教育职责督导制度，完善教育重大政策专项督导制度。完善教育督导报告发布制度，加大教育督导公开和问责力度。进一步健全督导制度，充分发挥督导促进教育改革发展的作用。</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强化社会监督评价。加大信息公开力度，建立健全信息公开评议制度，推动各级教育行政部门依法、及时、全面、准确地向社会公开各项政策和重要事项，依法接受各级人大和政协监督。完善学校各类信息公开制度，保障教职工、学生、社会公众对学校重大事项和重要制度的知情权，接受社会特别是利益攸关方的监督。高校本科教学评估报告、专业评估报告、教学质量年度报告、就业质量年度报告、教学质量常态监测数据、学业质量监测结果向社会公开。充分利用全媒体拓宽信息公开的途径和范围，更充分地保证人民群众教育知情权和监督权，发挥舆论监督包括互联网监督作用，</w:t>
      </w:r>
      <w:r w:rsidRPr="002B5208">
        <w:rPr>
          <w:rFonts w:ascii="仿宋_GB2312" w:eastAsia="仿宋_GB2312" w:hAnsi="宋体" w:cs="宋体" w:hint="eastAsia"/>
          <w:color w:val="333333"/>
          <w:kern w:val="0"/>
          <w:sz w:val="32"/>
          <w:szCs w:val="32"/>
        </w:rPr>
        <w:lastRenderedPageBreak/>
        <w:t>运用网络了解民意、感知社会态势、畅通沟通渠道、辅助科学决策。加强对第三方教育质量评估的监督指导，培育专业教育评价机构。鼓励行业企业、专业机构和社会组织规范开展教育评价和决策咨询，大力培育专业服务机构，委托专业机构和社会组织开展评价。</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健全教育管理监测体系。加强和改进教育统计，完善教育数据信息国家服务平台，建立学生基础数据库和终身电子学籍档案等各类教育基础数据库，破除信息壁垒，构建全国教育信息资源共享体系。完善教育现代化进程监测体系和教育科学决策服务系统建设。推动各级教育行政部门和学校开展深度数据挖掘和分析，运用互联网、大数据提升教育治理水平，更好地服务公众和政府决策。</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（三）全面推进依法治教。</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完善教育法律法规体系。推动修订职业教育法、残疾人教育条例，加快修订教师法、学位条例，推进学前教育法、终身学习法、学校安全条例、国家教育考试条例的研究起草工作，加快制修订教育规章。</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全面推进依法行政。加大教育行政执法力度，遵循法定职权与程序，运用行政指导、行政处罚、行政强制等手段，依法纠正学校和教育机构的违法违规行为，保障教育法律和政策有效实施。及时查处违反教育法律法规、侵害受教育者权益、扰乱教育秩序等行为，依法维护学校、学生、教师和举办者的权益。建立教育重大决策合法性审查机制、重大决策终身责任追究制度及责任倒查机制。</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大力推进依法治校。推动学校建立章程配套制度及落实机制，健全各种办事程序、内部机构组织规则、议事规则。</w:t>
      </w:r>
      <w:r w:rsidRPr="002B5208">
        <w:rPr>
          <w:rFonts w:ascii="仿宋_GB2312" w:eastAsia="仿宋_GB2312" w:hAnsi="宋体" w:cs="宋体" w:hint="eastAsia"/>
          <w:color w:val="333333"/>
          <w:kern w:val="0"/>
          <w:sz w:val="32"/>
          <w:szCs w:val="32"/>
        </w:rPr>
        <w:lastRenderedPageBreak/>
        <w:t>健全符合法治原则的教育救济制度。建立健全学校法律顾问制度。强化学校依法办学意识，健全依法治校评价指标体系，深入开展依法治校示范学校创建活动。开展学校领导干部、职能部门工作人员依法治校能力培训，全面提高教师依法执教的意识与能力。</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（四）完善教育投入机制。</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优先保障教育投入。坚持把教育作为各级人民政府财政支出重点领域给予优先保障，保证国家财政性教育经费支出占国内生产总值的比例一般不低于4%。更加注重通过加强政策设计、制度设计、标准设计带动投入，健全保证财政教育投入持续稳定增长的长效机制，确保财政一般公共预算教育支出逐年只增不减，确保按在校学生人数平均的一般公共预算教育支出逐年只增不减。到2020年，各省要制定和落实区域内各级教育生均财政拨款基本标准。健全教育经费统计体系，推动地方建立教育经费统计监测公告制度。</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完善教育经费投入机制。根据各类教育事业的不同特点和发展改革实际需要以及财力可能，进一步完善各类教育预算拨款制度和投入机制，合理确定并适时提高相关拨款标准和投入水平。义务教育全面纳入公共财政保障范围，建立城乡统一、重在农村的义务教育经费保障机制。非义务教育实行以政府投入为主、受教育者合理分担、其他多种渠道筹措经费的投入机制。改革完善高校预算拨款制度，优化项目支出与基本支出结构，支持高校内涵发展、提高质量。规范中央对地方的教育转移支付，着力加强重点地区、关键领域和薄弱环节。落实对个人和企业捐赠教育的税收优惠政策，鼓励社会资本加大教育投入力度。</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lastRenderedPageBreak/>
        <w:t>完善非义务教育阶段成本分担机制。建立公办学校学费标准根据培养成本、经济发展状况和群众承受能力，按照规定程序动态调整的机制。非营利性民办学校收费，通过市场化改革试点，逐步实现市场调节价，具体政策由省级人民政府根据办学成本以及本地公办教育保障程度、民办学校发展情况等因素确定。营利性民办学校收费实行市场调节价，具体收费标准由民办学校自主确定。政府依法加强对民办学校收费行为的监管。</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加强经费使用管理和国有资产管理。科学编制教育中期财政规划和年度预算，加强项目库管理，硬化预算约束，健全预算绩效管理机制，加强绩效评价结果应用，确保教育经费发挥最大效益。加强教育经费监管，推行高等学校总会计师制度，提升经费管理专业化水平。加快实施学校内部控制制度，加强内部审计，强化审计结果运用。加大学校财务信息公开力度，主动接受社会监督。加强国有资产管理，盘活各类资产存量，规范资产处置行为，提高资产使用效率。</w:t>
      </w:r>
    </w:p>
    <w:p w:rsidR="00B161C6" w:rsidRPr="002B5208" w:rsidRDefault="00B161C6" w:rsidP="002B5208">
      <w:pPr>
        <w:widowControl/>
        <w:spacing w:line="520" w:lineRule="exact"/>
        <w:ind w:firstLineChars="200" w:firstLine="643"/>
        <w:rPr>
          <w:rFonts w:ascii="仿宋_GB2312" w:eastAsia="仿宋_GB2312" w:hAnsi="宋体" w:cs="宋体" w:hint="eastAsia"/>
          <w:color w:val="333333"/>
          <w:kern w:val="0"/>
          <w:sz w:val="32"/>
          <w:szCs w:val="32"/>
        </w:rPr>
      </w:pPr>
      <w:r w:rsidRPr="002B5208">
        <w:rPr>
          <w:rFonts w:ascii="仿宋_GB2312" w:eastAsia="仿宋_GB2312" w:hAnsi="宋体" w:cs="宋体" w:hint="eastAsia"/>
          <w:b/>
          <w:bCs/>
          <w:color w:val="333333"/>
          <w:kern w:val="0"/>
          <w:sz w:val="32"/>
          <w:szCs w:val="32"/>
        </w:rPr>
        <w:t>十、加强和改进教育系统党的建设</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（一）落实全面从严治党主体责任。</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完善全面从严治党责任落实机制。理顺领导管理体制，明晰政治责任要求，切实把全面从严治党责任向基层延伸。推动各级党组织建立完善党建工作责任制。明确党组织主体责任和党组织书记第一责任以及分管责任人的直接责任，强化班子成员“党政同责、一岗双责”，强化问责追责，坚持党建工作与中心工作一起谋划、一起部署、一起考核，在机关和高校开展基层党组织书记抓基层党建工作述职评议考核，逐层传导压力，逐级落实责任。推动教育系统各级党组</w:t>
      </w:r>
      <w:r w:rsidRPr="002B5208">
        <w:rPr>
          <w:rFonts w:ascii="仿宋_GB2312" w:eastAsia="仿宋_GB2312" w:hAnsi="宋体" w:cs="宋体" w:hint="eastAsia"/>
          <w:color w:val="333333"/>
          <w:kern w:val="0"/>
          <w:sz w:val="32"/>
          <w:szCs w:val="32"/>
        </w:rPr>
        <w:lastRenderedPageBreak/>
        <w:t>织把“三严三实”要求贯穿于党建工作始终，用好监督执纪“四种形态”，从严要求、管理和监督干部，把党要管党、全面从严治党落到实处。切实贯彻落实中央八项规定精神，持之以恒深入纠正“四风”问题和教育行风问题。强化党内监督，加强巡视工作和纪检监察工作。</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（二）加强教育系统思想政治建设。</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深入学习贯彻习近平总书记系列重要讲话精神和治国理政新理念新思想新战略，完善“两学一做”学习教育常态化、长效化机制，用党的最新理论成果武装头脑，始终在思想上政治上行动上同以习近平同志为核心的党中央保持高度一致。全面加强党对教育工作的领导。落实教育系统各级党委（党组）意识形态工作责任，建立完善定期研究意识形态工作机制，加强对学校意识形态工作的联系指导，开展意识形态工作专项巡视和督查，强化对重点难点问题的研究和党内情况通报，明确意识形态工作问责机制。切实加强意识形态阵地管理，在教育政策制定、教材编写审查选用、教学科研管理、教育媒体管理、对外合作交流等业务工作中，把握正确政治方向，强化思想引领，巩固壮大主流思想文化。做好党员干部教育管理和知识分子工作，着力提升党员干部师生的思想政治素质。</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（三）加强基层党组织和党员队伍建设。</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扩大党的组织和工作覆盖面。加大各级各类学校党组织组建力度，优化组织设置，理顺隶属关系，选好管好党组织书记，加大党务干部培训力度，定期排查整顿软弱涣散基层党组织，提升党组织政治功能和服务水平，充分发挥战斗堡垒作用。立足思想建党，深入贯彻《关于新形势下党内政治</w:t>
      </w:r>
      <w:r w:rsidRPr="002B5208">
        <w:rPr>
          <w:rFonts w:ascii="仿宋_GB2312" w:eastAsia="仿宋_GB2312" w:hAnsi="宋体" w:cs="宋体" w:hint="eastAsia"/>
          <w:color w:val="333333"/>
          <w:kern w:val="0"/>
          <w:sz w:val="32"/>
          <w:szCs w:val="32"/>
        </w:rPr>
        <w:lastRenderedPageBreak/>
        <w:t>生活的若干准则》，加强和规范党内政治生活，认真落实“三会一课”、民主生活会和组织生活会、党员党性分析和民主评议、主题党日活动等制度，督促党员按规定缴纳党费，规范党员党籍和组织关系管理，引导党员增强主体意识和党性观念，严守政治纪律和政治规矩，充分发挥先锋模范作用。推进制度治党，着力构建系统完备的党的建设制度体系，从严落实教育系统机关党建工作制度，完善各级各类学校党建工作管理体制和运行机制，健全组织体系、骨干力量、党建责任制、发展党员和党员教育、管理、服务等制度，使制度规范覆盖到基层党组织建设的神经末梢。出台加强高校教师党支部建设的规范性文件和高校学生党建工作标准。注重发展优秀中青年教师和学术骨干入党，认真做好在高校学生中发展党员工作，进一步提高新发展党员的政治素质。公办高等学校以坚持和完善党委领导下的校长负责制为根本，充分发挥党委在学校改革发展中的领导核心作用。探索完善高等学校院系领导体制和运行机制，强化院系党委（党总支）的政治功能与作用。中小学校党组织要在学校各项工作中发挥政治核心作用，推进中小学校党组织和党的工作全覆盖。高度重视民办高校、中外合作办学中党的建设和思想政治工作，建立健全党组织，建立党组织参与决策和监督机制，探索党组织发挥政治核心作用的有效途径。强化党外人士思想政治引导，加强党外代表人士队伍建设，充分发挥党外知识分子作用，进一步加强和改进高校统战工作。以加强基层党建带动学校工会、共青团等群团组织和学生会组织建设。</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（四）加强教育系统党风廉政建设。</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lastRenderedPageBreak/>
        <w:t>落实党风廉政建设主体责任和监督责任。以尊崇《中国共产党章程》为核心，以贯彻《中国共产党廉洁自律准则》、《中国共产党纪律处分条例》、《中国共产党问责条例》、《中国共产党党内监督条例》为重点，全面从严教育管理监督干部，坚持把纪律和规矩挺在前面。强化教育系统党员干部党章党规党纪意识，落实廉政风险防控举措，健全反腐倡廉制度，严格执行党风廉政建设责任制，加强监督执纪问责。聚焦主业、深化“转职能、转方式、转作风”，加大执纪审查力度，锲而不舍正风肃纪，以案说纪，加强警示教育作用。完善教育系统惩治和预防腐败体系，大力推进廉政文化进校园，推动构建不敢腐、不能腐、不想腐的有效机制，努力营造风清气正的良好政治生态。</w:t>
      </w:r>
    </w:p>
    <w:p w:rsidR="00B161C6" w:rsidRPr="002B5208" w:rsidRDefault="00B161C6" w:rsidP="002B5208">
      <w:pPr>
        <w:widowControl/>
        <w:spacing w:line="520" w:lineRule="exact"/>
        <w:ind w:firstLineChars="200" w:firstLine="643"/>
        <w:rPr>
          <w:rFonts w:ascii="仿宋_GB2312" w:eastAsia="仿宋_GB2312" w:hAnsi="宋体" w:cs="宋体" w:hint="eastAsia"/>
          <w:color w:val="333333"/>
          <w:kern w:val="0"/>
          <w:sz w:val="32"/>
          <w:szCs w:val="32"/>
        </w:rPr>
      </w:pPr>
      <w:r w:rsidRPr="002B5208">
        <w:rPr>
          <w:rFonts w:ascii="仿宋_GB2312" w:eastAsia="仿宋_GB2312" w:hAnsi="宋体" w:cs="宋体" w:hint="eastAsia"/>
          <w:b/>
          <w:bCs/>
          <w:color w:val="333333"/>
          <w:kern w:val="0"/>
          <w:sz w:val="32"/>
          <w:szCs w:val="32"/>
        </w:rPr>
        <w:t>十一、组织实施</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（一）落实责任分工。</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建立规划实施责任制。对改革和发展的重点任务，制定时间表、路线图、任务书。强化与年度计划和各级教育规划的有效衔接，科学制定政策和配置公共资源，精心组织实施重大工程项目，将规划提出的目标、任务、政策、举措落到实处。</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（二）协同实施规划。</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加强相关部门间的协调配合，建立各有关部门共同研究解决教育发展问题的机制。加大省级政府统筹权，推动地方各级党委政府加强对教育规划实施的统筹领导，做好发展战略、主要目标、重点任务、重大工程项目与本规划的衔接，科学制定符合本地实际的发展目标和具体政策措施，将本规划总体部署落实到本地规划和政策中。鼓励社会广泛参与规</w:t>
      </w:r>
      <w:r w:rsidRPr="002B5208">
        <w:rPr>
          <w:rFonts w:ascii="仿宋_GB2312" w:eastAsia="仿宋_GB2312" w:hAnsi="宋体" w:cs="宋体" w:hint="eastAsia"/>
          <w:color w:val="333333"/>
          <w:kern w:val="0"/>
          <w:sz w:val="32"/>
          <w:szCs w:val="32"/>
        </w:rPr>
        <w:lastRenderedPageBreak/>
        <w:t>划实施。引导社会各界和广大人民群众采取多种形式和办法，支持学校建设，参与学校管理，积极为教育发展贡献力量。充分发挥群团组织、社会组织在促进青少年健康成长等方面的积极作用。加强与新闻媒体合作，及时全面向社会传递教育改革发展的信息，引导形成社会各界和广大人民群众共同关心、支持和参与教育发展与改革的局面。</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（三）鼓励探索创新。</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推动基层创新实施规划。完善试点改革制度，推动综合改革和专项改革相结合，加快重点领域和关键环节改革步伐。加强分类指导，建立激励机制，保护和激发基层首创精神，鼓励各地大胆实践、积极探索、创造经验。深入挖掘教育综合改革宝贵经验特别是基层创新经验，不断探索实施规划的有效机制。</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楷体" w:cs="宋体" w:hint="eastAsia"/>
          <w:color w:val="333333"/>
          <w:kern w:val="0"/>
          <w:sz w:val="32"/>
          <w:szCs w:val="32"/>
        </w:rPr>
        <w:t>（四）加强督促检查。</w:t>
      </w:r>
    </w:p>
    <w:p w:rsidR="00B161C6" w:rsidRPr="002B5208" w:rsidRDefault="00B161C6" w:rsidP="002B5208">
      <w:pPr>
        <w:widowControl/>
        <w:spacing w:line="520" w:lineRule="exact"/>
        <w:ind w:firstLineChars="200" w:firstLine="640"/>
        <w:rPr>
          <w:rFonts w:ascii="仿宋_GB2312" w:eastAsia="仿宋_GB2312" w:hAnsi="宋体" w:cs="宋体" w:hint="eastAsia"/>
          <w:color w:val="333333"/>
          <w:kern w:val="0"/>
          <w:sz w:val="32"/>
          <w:szCs w:val="32"/>
        </w:rPr>
      </w:pPr>
      <w:r w:rsidRPr="002B5208">
        <w:rPr>
          <w:rFonts w:ascii="仿宋_GB2312" w:eastAsia="仿宋_GB2312" w:hAnsi="宋体" w:cs="宋体" w:hint="eastAsia"/>
          <w:color w:val="333333"/>
          <w:kern w:val="0"/>
          <w:sz w:val="32"/>
          <w:szCs w:val="32"/>
        </w:rPr>
        <w:t>加强督查监测。将规划实施情况作为督促检查各级教育行政部门和学校工作的重要内容。建立规划实施监测评估机制，组织对规划实施情况开展跟踪监测和中期评估，及时发现问题，优化实施策略，出台针对性政策，调整规划目标、任务与政策措施。</w:t>
      </w:r>
    </w:p>
    <w:p w:rsidR="00F200C4" w:rsidRPr="002B5208" w:rsidRDefault="00B161C6" w:rsidP="002B5208">
      <w:pPr>
        <w:widowControl/>
        <w:spacing w:line="520" w:lineRule="exact"/>
        <w:ind w:firstLineChars="200" w:firstLine="640"/>
        <w:rPr>
          <w:rFonts w:ascii="仿宋_GB2312" w:eastAsia="仿宋_GB2312" w:hAnsi="宋体" w:cs="宋体"/>
          <w:color w:val="333333"/>
          <w:kern w:val="0"/>
          <w:sz w:val="32"/>
          <w:szCs w:val="32"/>
        </w:rPr>
      </w:pPr>
      <w:r w:rsidRPr="002B5208">
        <w:rPr>
          <w:rFonts w:ascii="仿宋_GB2312" w:eastAsia="仿宋_GB2312" w:hAnsi="宋体" w:cs="宋体" w:hint="eastAsia"/>
          <w:color w:val="333333"/>
          <w:kern w:val="0"/>
          <w:sz w:val="32"/>
          <w:szCs w:val="32"/>
        </w:rPr>
        <w:t>加强社会监督。推动各级教育行政部门定期发布教育改革发展动态和规划实施情况，及时向社会公布规划实施进展状况，主动接受家长、社会、媒体的监督，将社会各界对规划的意见和建议作为规划调整的重要依据，确保规划总体目标任务如期完成。</w:t>
      </w:r>
    </w:p>
    <w:sectPr w:rsidR="00F200C4" w:rsidRPr="002B5208" w:rsidSect="00B56EF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5523" w:rsidRDefault="00F75523" w:rsidP="008C1E89">
      <w:r>
        <w:separator/>
      </w:r>
    </w:p>
  </w:endnote>
  <w:endnote w:type="continuationSeparator" w:id="0">
    <w:p w:rsidR="00F75523" w:rsidRDefault="00F75523" w:rsidP="008C1E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MingLiU_HKSCS">
    <w:altName w:val="PMingLiU"/>
    <w:charset w:val="88"/>
    <w:family w:val="roman"/>
    <w:pitch w:val="variable"/>
    <w:sig w:usb0="00000000" w:usb1="3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7938"/>
      <w:docPartObj>
        <w:docPartGallery w:val="Page Numbers (Bottom of Page)"/>
        <w:docPartUnique/>
      </w:docPartObj>
    </w:sdtPr>
    <w:sdtContent>
      <w:p w:rsidR="002B5208" w:rsidRDefault="002B5208">
        <w:pPr>
          <w:pStyle w:val="a4"/>
          <w:jc w:val="right"/>
        </w:pPr>
        <w:fldSimple w:instr=" PAGE   \* MERGEFORMAT ">
          <w:r w:rsidRPr="002B5208">
            <w:rPr>
              <w:noProof/>
              <w:lang w:val="zh-CN"/>
            </w:rPr>
            <w:t>64</w:t>
          </w:r>
        </w:fldSimple>
      </w:p>
    </w:sdtContent>
  </w:sdt>
  <w:p w:rsidR="002B5208" w:rsidRDefault="002B520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5523" w:rsidRDefault="00F75523" w:rsidP="008C1E89">
      <w:r>
        <w:separator/>
      </w:r>
    </w:p>
  </w:footnote>
  <w:footnote w:type="continuationSeparator" w:id="0">
    <w:p w:rsidR="00F75523" w:rsidRDefault="00F75523" w:rsidP="008C1E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161C6"/>
    <w:rsid w:val="002B5208"/>
    <w:rsid w:val="004418A4"/>
    <w:rsid w:val="008C1E89"/>
    <w:rsid w:val="00B161C6"/>
    <w:rsid w:val="00B56EFF"/>
    <w:rsid w:val="00C20E7C"/>
    <w:rsid w:val="00F200C4"/>
    <w:rsid w:val="00F755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6EF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C1E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C1E89"/>
    <w:rPr>
      <w:sz w:val="18"/>
      <w:szCs w:val="18"/>
    </w:rPr>
  </w:style>
  <w:style w:type="paragraph" w:styleId="a4">
    <w:name w:val="footer"/>
    <w:basedOn w:val="a"/>
    <w:link w:val="Char0"/>
    <w:uiPriority w:val="99"/>
    <w:unhideWhenUsed/>
    <w:rsid w:val="008C1E89"/>
    <w:pPr>
      <w:tabs>
        <w:tab w:val="center" w:pos="4153"/>
        <w:tab w:val="right" w:pos="8306"/>
      </w:tabs>
      <w:snapToGrid w:val="0"/>
      <w:jc w:val="left"/>
    </w:pPr>
    <w:rPr>
      <w:sz w:val="18"/>
      <w:szCs w:val="18"/>
    </w:rPr>
  </w:style>
  <w:style w:type="character" w:customStyle="1" w:styleId="Char0">
    <w:name w:val="页脚 Char"/>
    <w:basedOn w:val="a0"/>
    <w:link w:val="a4"/>
    <w:uiPriority w:val="99"/>
    <w:rsid w:val="008C1E8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64</Pages>
  <Words>6366</Words>
  <Characters>36292</Characters>
  <Application>Microsoft Office Word</Application>
  <DocSecurity>0</DocSecurity>
  <Lines>302</Lines>
  <Paragraphs>85</Paragraphs>
  <ScaleCrop>false</ScaleCrop>
  <Company>Microsoft</Company>
  <LinksUpToDate>false</LinksUpToDate>
  <CharactersWithSpaces>42573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dreamsummit</cp:lastModifiedBy>
  <cp:revision>3</cp:revision>
  <dcterms:created xsi:type="dcterms:W3CDTF">2017-01-20T00:01:00Z</dcterms:created>
  <dcterms:modified xsi:type="dcterms:W3CDTF">2018-03-16T03:32:00Z</dcterms:modified>
</cp:coreProperties>
</file>